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252B81" w:rsidRPr="00625850" w14:paraId="510DA275" w14:textId="77777777" w:rsidTr="00A832E4">
        <w:trPr>
          <w:trHeight w:val="1266"/>
        </w:trPr>
        <w:tc>
          <w:tcPr>
            <w:tcW w:w="3227" w:type="dxa"/>
            <w:shd w:val="clear" w:color="auto" w:fill="auto"/>
            <w:vAlign w:val="center"/>
          </w:tcPr>
          <w:p w14:paraId="4F710CCC" w14:textId="77777777" w:rsidR="00252B81" w:rsidRPr="00625850" w:rsidRDefault="00252B81" w:rsidP="009821B2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F04BECF" w14:textId="77777777" w:rsidR="00252B81" w:rsidRPr="00625850" w:rsidRDefault="00252B81" w:rsidP="009821B2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6E7AE12" w14:textId="5E6B2879" w:rsidR="00252B81" w:rsidRPr="00DE69ED" w:rsidRDefault="00DE69ED" w:rsidP="009821B2">
            <w:pPr>
              <w:suppressAutoHyphens/>
              <w:spacing w:after="0" w:line="240" w:lineRule="auto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zh-CN"/>
              </w:rPr>
            </w:pPr>
            <w:r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 xml:space="preserve">Gara europea a procedura aperta, ai sensi dell’art. 71 </w:t>
            </w:r>
            <w:r w:rsidR="00DE1AAA"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>D.lgs.</w:t>
            </w:r>
            <w:r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 xml:space="preserve"> 36/2023 per l’affidamento dei lavori e della fornitura di arredi per </w:t>
            </w:r>
            <w:bookmarkStart w:id="0" w:name="_Hlk147135038"/>
            <w:r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 xml:space="preserve">la realizzazione </w:t>
            </w:r>
            <w:bookmarkStart w:id="1" w:name="_Hlk147143024"/>
            <w:r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 xml:space="preserve">dell’edificio denominato “Giovanni Cottino Learning Center” in Torino, via Boggio n. 59 </w:t>
            </w:r>
            <w:bookmarkEnd w:id="0"/>
            <w:bookmarkEnd w:id="1"/>
            <w:r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 xml:space="preserve">– CIG: </w:t>
            </w:r>
            <w:r w:rsidR="00201FA6" w:rsidRPr="00EB178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A022598AD3</w:t>
            </w:r>
            <w:r w:rsidRPr="00DE69ED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zh-CN"/>
              </w:rPr>
              <w:t xml:space="preserve"> - CUP: E16J22000080005 - CUI: L00518460019202300038</w:t>
            </w:r>
          </w:p>
        </w:tc>
      </w:tr>
    </w:tbl>
    <w:p w14:paraId="13160957" w14:textId="77777777" w:rsidR="00252B81" w:rsidRPr="00143D0F" w:rsidRDefault="00252B81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0B3665C2" w:rsidR="00B022B7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La mancata consegna del presente documento debitamente sottoscritto sarà oggetto di regolarizzazione con le modalità indicate all'art. </w:t>
      </w:r>
      <w:r w:rsidR="000B44F6">
        <w:rPr>
          <w:rFonts w:ascii="Century Gothic" w:hAnsi="Century Gothic" w:cs="Times New Roman"/>
          <w:sz w:val="20"/>
          <w:szCs w:val="20"/>
        </w:rPr>
        <w:t>101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D.lgs. n. </w:t>
      </w:r>
      <w:r w:rsidR="000B44F6">
        <w:rPr>
          <w:rFonts w:ascii="Century Gothic" w:hAnsi="Century Gothic" w:cs="Times New Roman"/>
          <w:sz w:val="20"/>
          <w:szCs w:val="20"/>
        </w:rPr>
        <w:t>36</w:t>
      </w:r>
      <w:r w:rsidRPr="00143D0F">
        <w:rPr>
          <w:rFonts w:ascii="Century Gothic" w:hAnsi="Century Gothic" w:cs="Times New Roman"/>
          <w:sz w:val="20"/>
          <w:szCs w:val="20"/>
        </w:rPr>
        <w:t>/20</w:t>
      </w:r>
      <w:r w:rsidR="000B44F6">
        <w:rPr>
          <w:rFonts w:ascii="Century Gothic" w:hAnsi="Century Gothic" w:cs="Times New Roman"/>
          <w:sz w:val="20"/>
          <w:szCs w:val="20"/>
        </w:rPr>
        <w:t>23</w:t>
      </w:r>
      <w:r w:rsidR="00303201" w:rsidRPr="00143D0F">
        <w:rPr>
          <w:rFonts w:ascii="Century Gothic" w:hAnsi="Century Gothic" w:cs="Times New Roman"/>
          <w:sz w:val="20"/>
          <w:szCs w:val="20"/>
        </w:rPr>
        <w:t>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lastRenderedPageBreak/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la promessa, offerta, concessione diretta o indiretta ad una persona, per se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4DA6126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Rapporti con gli uffici </w:t>
      </w:r>
      <w:r w:rsidR="00C679E1">
        <w:rPr>
          <w:rFonts w:ascii="Century Gothic" w:hAnsi="Century Gothic" w:cs="Times New Roman"/>
          <w:b/>
          <w:bCs/>
          <w:sz w:val="20"/>
          <w:szCs w:val="20"/>
        </w:rPr>
        <w:t>dell’Amministrazione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7FDFFC2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 xml:space="preserve">, oltre che al Responsabile Unico del </w:t>
      </w:r>
      <w:r w:rsidR="00D31372">
        <w:rPr>
          <w:rFonts w:ascii="Century Gothic" w:hAnsi="Century Gothic" w:cs="Times New Roman"/>
          <w:sz w:val="20"/>
          <w:szCs w:val="20"/>
        </w:rPr>
        <w:t>Progetto</w:t>
      </w:r>
      <w:r w:rsidRPr="00143D0F">
        <w:rPr>
          <w:rFonts w:ascii="Century Gothic" w:hAnsi="Century Gothic" w:cs="Times New Roman"/>
          <w:sz w:val="20"/>
          <w:szCs w:val="20"/>
        </w:rPr>
        <w:t>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469ACEBD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52706A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taluno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52706A">
        <w:rPr>
          <w:rFonts w:ascii="Century Gothic" w:hAnsi="Century Gothic" w:cs="Times New Roman"/>
          <w:sz w:val="20"/>
          <w:szCs w:val="20"/>
        </w:rPr>
        <w:t>t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.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318, 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52706A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52706A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52706A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1D0F84DD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59FFD6D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 xml:space="preserve">incameramento della cauzione provvisoria di validità dell’offerta (art. </w:t>
      </w:r>
      <w:r w:rsidR="0021052A">
        <w:rPr>
          <w:rFonts w:ascii="Century Gothic" w:hAnsi="Century Gothic" w:cs="Times New Roman"/>
          <w:sz w:val="20"/>
          <w:szCs w:val="20"/>
        </w:rPr>
        <w:t>106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</w:t>
      </w:r>
      <w:r w:rsidR="0021052A">
        <w:rPr>
          <w:rFonts w:ascii="Century Gothic" w:hAnsi="Century Gothic" w:cs="Times New Roman"/>
          <w:sz w:val="20"/>
          <w:szCs w:val="20"/>
        </w:rPr>
        <w:t>17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428D649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52706A">
        <w:rPr>
          <w:rFonts w:ascii="Century Gothic" w:hAnsi="Century Gothic" w:cs="Times New Roman"/>
          <w:sz w:val="20"/>
          <w:szCs w:val="20"/>
        </w:rPr>
        <w:t xml:space="preserve">2. </w:t>
      </w:r>
      <w:r w:rsidR="00F872F2" w:rsidRPr="0052706A">
        <w:rPr>
          <w:rFonts w:ascii="Century Gothic" w:hAnsi="Century Gothic" w:cs="Times New Roman"/>
          <w:sz w:val="20"/>
          <w:szCs w:val="20"/>
        </w:rPr>
        <w:t>S</w:t>
      </w:r>
      <w:r w:rsidR="00BE1E12" w:rsidRPr="0052706A">
        <w:rPr>
          <w:rFonts w:ascii="Century Gothic" w:hAnsi="Century Gothic" w:cs="Times New Roman"/>
          <w:sz w:val="20"/>
          <w:szCs w:val="20"/>
        </w:rPr>
        <w:t>i configurano</w:t>
      </w:r>
      <w:r w:rsidR="00F872F2" w:rsidRPr="0052706A">
        <w:rPr>
          <w:rFonts w:ascii="Century Gothic" w:hAnsi="Century Gothic" w:cs="Times New Roman"/>
          <w:sz w:val="20"/>
          <w:szCs w:val="20"/>
        </w:rPr>
        <w:t xml:space="preserve"> come violazioni del presente i casi previsti agli </w:t>
      </w:r>
      <w:r w:rsidRPr="0052706A">
        <w:rPr>
          <w:rFonts w:ascii="Century Gothic" w:hAnsi="Century Gothic" w:cs="Times New Roman"/>
          <w:sz w:val="20"/>
          <w:szCs w:val="20"/>
        </w:rPr>
        <w:t>art</w:t>
      </w:r>
      <w:r w:rsidR="00C679E1" w:rsidRPr="0052706A">
        <w:rPr>
          <w:rFonts w:ascii="Century Gothic" w:hAnsi="Century Gothic" w:cs="Times New Roman"/>
          <w:sz w:val="20"/>
          <w:szCs w:val="20"/>
        </w:rPr>
        <w:t xml:space="preserve">. 32-ter </w:t>
      </w:r>
      <w:r w:rsidR="00694E10" w:rsidRPr="0052706A">
        <w:rPr>
          <w:rFonts w:ascii="Century Gothic" w:hAnsi="Century Gothic" w:cs="Times New Roman"/>
          <w:sz w:val="20"/>
          <w:szCs w:val="20"/>
        </w:rPr>
        <w:t xml:space="preserve">e 32 quater </w:t>
      </w:r>
      <w:r w:rsidR="00C679E1" w:rsidRPr="0052706A">
        <w:rPr>
          <w:rFonts w:ascii="Century Gothic" w:hAnsi="Century Gothic" w:cs="Times New Roman"/>
          <w:sz w:val="20"/>
          <w:szCs w:val="20"/>
        </w:rPr>
        <w:t>del c.p.</w:t>
      </w:r>
      <w:r w:rsidR="00F872F2" w:rsidRPr="0052706A">
        <w:rPr>
          <w:rFonts w:ascii="Century Gothic" w:hAnsi="Century Gothic" w:cs="Times New Roman"/>
          <w:sz w:val="20"/>
          <w:szCs w:val="20"/>
        </w:rPr>
        <w:t>: in tali casi,</w:t>
      </w:r>
      <w:r w:rsidRPr="0052706A">
        <w:rPr>
          <w:rFonts w:ascii="Century Gothic" w:hAnsi="Century Gothic" w:cs="Times New Roman"/>
          <w:sz w:val="20"/>
          <w:szCs w:val="20"/>
        </w:rPr>
        <w:t xml:space="preserve"> i contratti conclusi e gli incarichi conferiti sono nulli. L’operatore economico che ha concluso contratti o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footerReference w:type="default" r:id="rId11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E457" w14:textId="77777777" w:rsidR="00DE2320" w:rsidRDefault="00DE2320" w:rsidP="00995968">
      <w:pPr>
        <w:spacing w:after="0" w:line="240" w:lineRule="auto"/>
      </w:pPr>
      <w:r>
        <w:separator/>
      </w:r>
    </w:p>
  </w:endnote>
  <w:endnote w:type="continuationSeparator" w:id="0">
    <w:p w14:paraId="7BA20B02" w14:textId="77777777" w:rsidR="00DE2320" w:rsidRDefault="00DE2320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11AB8663" w:rsidR="00EE5691" w:rsidRDefault="00EE5691" w:rsidP="00EE5691">
        <w:pPr>
          <w:pStyle w:val="Pidipagina"/>
        </w:pPr>
      </w:p>
      <w:p w14:paraId="76C879A0" w14:textId="69E445D8" w:rsidR="00995968" w:rsidRDefault="00A832E4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248C9" w14:textId="77777777" w:rsidR="00DE2320" w:rsidRDefault="00DE2320" w:rsidP="00995968">
      <w:pPr>
        <w:spacing w:after="0" w:line="240" w:lineRule="auto"/>
      </w:pPr>
      <w:r>
        <w:separator/>
      </w:r>
    </w:p>
  </w:footnote>
  <w:footnote w:type="continuationSeparator" w:id="0">
    <w:p w14:paraId="622890F7" w14:textId="77777777" w:rsidR="00DE2320" w:rsidRDefault="00DE2320" w:rsidP="0099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8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B44F6"/>
    <w:rsid w:val="000E144F"/>
    <w:rsid w:val="00143D0F"/>
    <w:rsid w:val="001F74F3"/>
    <w:rsid w:val="00201FA6"/>
    <w:rsid w:val="00205BF6"/>
    <w:rsid w:val="0021052A"/>
    <w:rsid w:val="00234334"/>
    <w:rsid w:val="00252B81"/>
    <w:rsid w:val="00282C61"/>
    <w:rsid w:val="002C1F0A"/>
    <w:rsid w:val="002D26CB"/>
    <w:rsid w:val="00303201"/>
    <w:rsid w:val="003569EA"/>
    <w:rsid w:val="00386475"/>
    <w:rsid w:val="003A4F15"/>
    <w:rsid w:val="003A5FA5"/>
    <w:rsid w:val="003F7585"/>
    <w:rsid w:val="00421933"/>
    <w:rsid w:val="00423A88"/>
    <w:rsid w:val="0042403D"/>
    <w:rsid w:val="00461401"/>
    <w:rsid w:val="0046206A"/>
    <w:rsid w:val="004920BA"/>
    <w:rsid w:val="00493B65"/>
    <w:rsid w:val="004C51CB"/>
    <w:rsid w:val="004E58C3"/>
    <w:rsid w:val="0052706A"/>
    <w:rsid w:val="0054786D"/>
    <w:rsid w:val="005535D6"/>
    <w:rsid w:val="00687207"/>
    <w:rsid w:val="0069209B"/>
    <w:rsid w:val="00693686"/>
    <w:rsid w:val="00694E10"/>
    <w:rsid w:val="00695390"/>
    <w:rsid w:val="006B5893"/>
    <w:rsid w:val="00712654"/>
    <w:rsid w:val="00803597"/>
    <w:rsid w:val="008211EC"/>
    <w:rsid w:val="008252EE"/>
    <w:rsid w:val="008C01A9"/>
    <w:rsid w:val="0098291D"/>
    <w:rsid w:val="00995968"/>
    <w:rsid w:val="00A13A3D"/>
    <w:rsid w:val="00A67392"/>
    <w:rsid w:val="00A832E4"/>
    <w:rsid w:val="00AA37B4"/>
    <w:rsid w:val="00AA41B2"/>
    <w:rsid w:val="00B022B7"/>
    <w:rsid w:val="00B628B9"/>
    <w:rsid w:val="00B67F78"/>
    <w:rsid w:val="00B76396"/>
    <w:rsid w:val="00BE1E12"/>
    <w:rsid w:val="00C6267F"/>
    <w:rsid w:val="00C679E1"/>
    <w:rsid w:val="00C832DE"/>
    <w:rsid w:val="00C84CEA"/>
    <w:rsid w:val="00CC5262"/>
    <w:rsid w:val="00D27DEE"/>
    <w:rsid w:val="00D31372"/>
    <w:rsid w:val="00D35499"/>
    <w:rsid w:val="00D84B6D"/>
    <w:rsid w:val="00D97999"/>
    <w:rsid w:val="00DA2D2C"/>
    <w:rsid w:val="00DA68E0"/>
    <w:rsid w:val="00DE1AAA"/>
    <w:rsid w:val="00DE2320"/>
    <w:rsid w:val="00DE69ED"/>
    <w:rsid w:val="00E60C88"/>
    <w:rsid w:val="00E72322"/>
    <w:rsid w:val="00E82EF8"/>
    <w:rsid w:val="00EB3E74"/>
    <w:rsid w:val="00EE4219"/>
    <w:rsid w:val="00EE5691"/>
    <w:rsid w:val="00EE7CC8"/>
    <w:rsid w:val="00EF65F9"/>
    <w:rsid w:val="00F662AE"/>
    <w:rsid w:val="00F728AB"/>
    <w:rsid w:val="00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0C2D4-14A7-412E-BA4C-4AC92AA0F66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d434550-8bf0-4708-a74b-e392f8ed5109"/>
    <ds:schemaRef ds:uri="http://schemas.microsoft.com/office/infopath/2007/PartnerControls"/>
    <ds:schemaRef ds:uri="1ba81e97-3df0-4359-b196-e83559a21ea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6E2BD3-CF4F-47F3-94E2-850DF1AE6F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9A732-B0E8-4836-BF6D-31018310A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Maria  Stefanelli</cp:lastModifiedBy>
  <cp:revision>63</cp:revision>
  <cp:lastPrinted>2020-08-24T09:16:00Z</cp:lastPrinted>
  <dcterms:created xsi:type="dcterms:W3CDTF">2020-08-07T14:19:00Z</dcterms:created>
  <dcterms:modified xsi:type="dcterms:W3CDTF">2023-11-03T08:05:00Z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