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E07BE" w14:textId="77777777" w:rsidR="00E40DC1" w:rsidRPr="00E40DC1" w:rsidRDefault="00E40DC1" w:rsidP="007F6B6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8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</w:p>
    <w:p w14:paraId="12679125" w14:textId="6F8E65FD" w:rsidR="00EF0D0C" w:rsidRDefault="00BE1DB3" w:rsidP="007F6B6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8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Fac-simile di </w:t>
      </w:r>
    </w:p>
    <w:p w14:paraId="44EB950B" w14:textId="3134083A" w:rsidR="00AC3092" w:rsidRPr="00E40DC1" w:rsidRDefault="00AC3092" w:rsidP="007F6B68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8" w:color="auto"/>
        </w:pBdr>
        <w:shd w:val="clear" w:color="auto" w:fill="CCFFCC"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Dichiarazione in merito alle voci di costo</w:t>
      </w:r>
    </w:p>
    <w:p w14:paraId="6184F7AB" w14:textId="77777777" w:rsidR="00FE3754" w:rsidRPr="00E40DC1" w:rsidRDefault="00FE3754" w:rsidP="00502832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85"/>
      </w:tblGrid>
      <w:tr w:rsidR="009451B8" w:rsidRPr="00E40DC1" w14:paraId="0F7FECE3" w14:textId="77777777" w:rsidTr="00961BC7">
        <w:tc>
          <w:tcPr>
            <w:tcW w:w="3338" w:type="dxa"/>
            <w:shd w:val="clear" w:color="auto" w:fill="auto"/>
            <w:vAlign w:val="center"/>
          </w:tcPr>
          <w:p w14:paraId="451E45AB" w14:textId="16A4A596" w:rsidR="009451B8" w:rsidRPr="00027D92" w:rsidRDefault="00DF2E7B" w:rsidP="00502832">
            <w:pPr>
              <w:suppressAutoHyphens/>
              <w:spacing w:after="0" w:line="312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027D9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</w:t>
            </w:r>
            <w:r w:rsidR="009451B8" w:rsidRPr="00027D9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:</w:t>
            </w:r>
          </w:p>
          <w:p w14:paraId="35639633" w14:textId="77777777" w:rsidR="009451B8" w:rsidRPr="00027D92" w:rsidRDefault="009451B8" w:rsidP="00502832">
            <w:pPr>
              <w:suppressAutoHyphens/>
              <w:spacing w:after="0" w:line="312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027D92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85" w:type="dxa"/>
            <w:shd w:val="clear" w:color="auto" w:fill="auto"/>
          </w:tcPr>
          <w:p w14:paraId="60BE8430" w14:textId="77777777" w:rsidR="00B30F0A" w:rsidRPr="0089431F" w:rsidRDefault="00B30F0A" w:rsidP="00B30F0A">
            <w:pPr>
              <w:ind w:right="-2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PIANO NAZIONALE DI RIPRESA E RESILIENZA (PNRR) – MISSIONE 4 COMPONENTE 2, “Dalla ricerca all’impresa” INVESTIMENTO 3.1,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“</w:t>
            </w:r>
            <w:r w:rsidRPr="0089431F">
              <w:rPr>
                <w:rFonts w:ascii="Century Gothic" w:hAnsi="Century Gothic"/>
                <w:bCs/>
                <w:i/>
                <w:iCs/>
                <w:sz w:val="18"/>
                <w:szCs w:val="20"/>
              </w:rPr>
              <w:t>Fondo per la realizzazione di un sistema integrato di infrastrutture di ricerca e innovazione</w:t>
            </w: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”, finanziato dall’Unione europea – </w:t>
            </w:r>
            <w:proofErr w:type="spellStart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>NextGenerationEU</w:t>
            </w:r>
            <w:proofErr w:type="spellEnd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azione di riferimento 3.1.1 “Creazione di nuove IR o potenziamento di quelle esistenti che concorrono agli obiettivi di Eccellenza Scientifica di Horizon Europe e costituzione di reti” di cui al D.M. 7 ottobre 2021, n. 1141.</w:t>
            </w:r>
          </w:p>
          <w:p w14:paraId="07E1FDB5" w14:textId="77777777" w:rsidR="00B30F0A" w:rsidRPr="0089431F" w:rsidRDefault="00B30F0A" w:rsidP="00B30F0A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03CEBB2F" w14:textId="77777777" w:rsidR="00B30F0A" w:rsidRPr="0089431F" w:rsidRDefault="00B30F0A" w:rsidP="00B30F0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sz w:val="18"/>
                <w:szCs w:val="20"/>
              </w:rPr>
              <w:t xml:space="preserve">Denominazione progetto finanziato: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Infrastructure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for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ENergy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TRAnsition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aNd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Circular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Economy @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EuroNanoLab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iENTRANCE@ENL</w:t>
            </w:r>
            <w:proofErr w:type="spellEnd"/>
          </w:p>
          <w:p w14:paraId="2CEFB6EB" w14:textId="77777777" w:rsidR="00B30F0A" w:rsidRPr="0089431F" w:rsidRDefault="00B30F0A" w:rsidP="00B30F0A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03491BBC" w14:textId="77777777" w:rsidR="00B30F0A" w:rsidRPr="0089431F" w:rsidRDefault="00B30F0A" w:rsidP="00B30F0A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ss.mm.ii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. per l’affidamento della fornitura di “uno spettrometro di fotoelettroni emessi per effetto fotoelettrico dopo irraggiamento con fotoni prodotti da sorgenti X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Xps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X-Ray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Phototelectron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), che possa lavorare in regimi di pressioni che vanno dall’ultra alto vuoto (Ultra High Vacuum - UHV) fino a pressioni “quasi” ambientali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Near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Ambient Pressure – NAP), dotato di cella elettrochimica per misure “in-operando” e spettrometro di massa per l’analisi dei prodotti di reazione”</w:t>
            </w:r>
          </w:p>
          <w:p w14:paraId="252820D2" w14:textId="26B99DEA" w:rsidR="00B2076D" w:rsidRPr="00027D92" w:rsidRDefault="00B30F0A" w:rsidP="00B30F0A">
            <w:pPr>
              <w:tabs>
                <w:tab w:val="left" w:pos="3168"/>
              </w:tabs>
              <w:spacing w:after="0" w:line="312" w:lineRule="auto"/>
              <w:contextualSpacing/>
              <w:jc w:val="both"/>
              <w:rPr>
                <w:rFonts w:ascii="Century Gothic" w:eastAsia="Times New Roman" w:hAnsi="Century Gothic" w:cs="Poppins"/>
                <w:sz w:val="20"/>
                <w:szCs w:val="20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CIG </w:t>
            </w:r>
            <w:r w:rsidRPr="0089431F">
              <w:rPr>
                <w:rFonts w:ascii="Century Gothic" w:hAnsi="Century Gothic"/>
                <w:sz w:val="18"/>
                <w:szCs w:val="20"/>
                <w:lang w:eastAsia="it-IT"/>
              </w:rPr>
              <w:t>9915571C08</w:t>
            </w:r>
            <w:r w:rsidRPr="0089431F">
              <w:rPr>
                <w:rFonts w:ascii="Century Gothic" w:hAnsi="Century Gothic"/>
                <w:b/>
                <w:sz w:val="18"/>
                <w:szCs w:val="20"/>
                <w:lang w:eastAsia="it-IT"/>
              </w:rPr>
              <w:t xml:space="preserve"> </w:t>
            </w: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- CUI F00518460019202300049 - CUP B33C22000710006</w:t>
            </w:r>
          </w:p>
        </w:tc>
      </w:tr>
    </w:tbl>
    <w:p w14:paraId="4D8376D0" w14:textId="0ABA3AB8" w:rsidR="00FE3754" w:rsidRPr="00E40DC1" w:rsidRDefault="00FE3754" w:rsidP="00E40DC1">
      <w:pPr>
        <w:tabs>
          <w:tab w:val="left" w:pos="5387"/>
          <w:tab w:val="left" w:pos="6521"/>
        </w:tabs>
        <w:spacing w:after="0" w:line="312" w:lineRule="auto"/>
        <w:ind w:right="-285"/>
        <w:contextualSpacing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771E2CD" w14:textId="77777777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Spett. le Politecnico di Torino</w:t>
      </w:r>
    </w:p>
    <w:p w14:paraId="7716B91F" w14:textId="47B12DF8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</w:t>
      </w:r>
      <w:r w:rsidR="001417E3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Area </w:t>
      </w:r>
      <w:r w:rsidR="00B2076D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AGACON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</w:t>
      </w:r>
      <w:r w:rsidR="00095421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FF46F8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3DC8D49F" w14:textId="1206A6D0" w:rsidR="00FE3754" w:rsidRPr="00E40DC1" w:rsidRDefault="00FE3754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A63D5C7" w14:textId="733D4ED8" w:rsidR="0039346E" w:rsidRPr="00E40DC1" w:rsidRDefault="00095421" w:rsidP="00502832">
      <w:pPr>
        <w:tabs>
          <w:tab w:val="left" w:pos="6521"/>
          <w:tab w:val="left" w:pos="6804"/>
        </w:tabs>
        <w:spacing w:after="0" w:line="312" w:lineRule="auto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</w:t>
      </w:r>
      <w:r w:rsidR="00FF46F8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="00FE3754" w:rsidRPr="00E40DC1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49FCB825" w14:textId="77777777" w:rsidR="0039346E" w:rsidRPr="00E40DC1" w:rsidRDefault="0039346E" w:rsidP="00502832">
      <w:pPr>
        <w:tabs>
          <w:tab w:val="left" w:pos="6521"/>
          <w:tab w:val="left" w:pos="6804"/>
        </w:tabs>
        <w:spacing w:after="0" w:line="312" w:lineRule="auto"/>
        <w:ind w:right="-285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06E17201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11DF3C46" w14:textId="77777777" w:rsidR="00FE3754" w:rsidRPr="00E40DC1" w:rsidRDefault="00FE3754" w:rsidP="00502832">
      <w:pPr>
        <w:widowControl w:val="0"/>
        <w:tabs>
          <w:tab w:val="left" w:leader="underscore" w:pos="2552"/>
          <w:tab w:val="left" w:leader="underscore" w:pos="9672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3C180DD7" w14:textId="78FFAF5C" w:rsidR="00FE3754" w:rsidRPr="00E40DC1" w:rsidRDefault="00FE3754" w:rsidP="00502832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01D7C4BB" w14:textId="256F6BAF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D258D5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_____</w:t>
      </w:r>
    </w:p>
    <w:p w14:paraId="4DA2E252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139F5" w14:textId="255FAFE1" w:rsidR="00FE3754" w:rsidRPr="00E40DC1" w:rsidRDefault="00FE3754" w:rsidP="00502832">
      <w:pPr>
        <w:widowControl w:val="0"/>
        <w:tabs>
          <w:tab w:val="left" w:leader="underscore" w:pos="4536"/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>. ________________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8A24E3"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  <w:r w:rsidR="0052132B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</w:p>
    <w:p w14:paraId="01A95881" w14:textId="77777777" w:rsidR="00FE3754" w:rsidRPr="00E40DC1" w:rsidRDefault="00FE3754" w:rsidP="00502832">
      <w:pPr>
        <w:widowControl w:val="0"/>
        <w:tabs>
          <w:tab w:val="right" w:leader="underscore" w:pos="9648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8B500F0" w14:textId="77777777" w:rsidR="00FE3754" w:rsidRPr="00E40DC1" w:rsidRDefault="00FE3754" w:rsidP="00502832">
      <w:pPr>
        <w:widowControl w:val="0"/>
        <w:tabs>
          <w:tab w:val="right" w:leader="underscore" w:pos="9624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2F1DA3F" w14:textId="543095E5" w:rsidR="00FE3754" w:rsidRDefault="00FE3754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E40DC1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6F35312" w14:textId="082EF190" w:rsidR="0052132B" w:rsidRPr="00E40DC1" w:rsidRDefault="0052132B" w:rsidP="00502832">
      <w:pPr>
        <w:widowControl w:val="0"/>
        <w:tabs>
          <w:tab w:val="right" w:leader="underscore" w:pos="9600"/>
        </w:tabs>
        <w:spacing w:after="0" w:line="312" w:lineRule="auto"/>
        <w:contextualSpacing/>
        <w:rPr>
          <w:rFonts w:ascii="Century Gothic" w:eastAsia="Calibri" w:hAnsi="Century Gothic" w:cs="Times New Roman"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sz w:val="20"/>
          <w:szCs w:val="20"/>
          <w:lang w:eastAsia="it-IT"/>
        </w:rPr>
        <w:t>Settore produttivo del CCNL applicato _________________________________________________________</w:t>
      </w:r>
    </w:p>
    <w:p w14:paraId="5DEC9B50" w14:textId="16135E39" w:rsidR="000900F8" w:rsidRDefault="000900F8" w:rsidP="00502832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73A1E605" w14:textId="77777777" w:rsidR="00AF31EA" w:rsidRPr="00AF31EA" w:rsidRDefault="00AF31EA" w:rsidP="00AF31EA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i/>
          <w:sz w:val="20"/>
          <w:szCs w:val="20"/>
          <w:lang w:eastAsia="it-IT"/>
        </w:rPr>
      </w:pPr>
      <w:r w:rsidRPr="00AF31EA">
        <w:rPr>
          <w:rFonts w:ascii="Century Gothic" w:eastAsia="Times New Roman" w:hAnsi="Century Gothic" w:cs="Arial"/>
          <w:i/>
          <w:sz w:val="20"/>
          <w:szCs w:val="20"/>
          <w:lang w:eastAsia="it-IT"/>
        </w:rPr>
        <w:lastRenderedPageBreak/>
        <w:t xml:space="preserve">Al fine di concorrere all’aggiudicazione del contratto per l’affidamento della fornitura indicata in oggetto </w:t>
      </w:r>
    </w:p>
    <w:p w14:paraId="326B9231" w14:textId="77777777" w:rsidR="00476B6F" w:rsidRPr="00E40DC1" w:rsidRDefault="00476B6F" w:rsidP="00476B6F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sz w:val="20"/>
          <w:szCs w:val="20"/>
          <w:lang w:eastAsia="it-IT"/>
        </w:rPr>
        <w:t>OFFRE</w:t>
      </w:r>
      <w:bookmarkStart w:id="0" w:name="_Hlk117075261"/>
    </w:p>
    <w:p w14:paraId="63D4205D" w14:textId="77777777" w:rsidR="00476B6F" w:rsidRPr="00E40DC1" w:rsidRDefault="00476B6F" w:rsidP="00476B6F">
      <w:pPr>
        <w:tabs>
          <w:tab w:val="left" w:pos="0"/>
        </w:tabs>
        <w:spacing w:after="0" w:line="312" w:lineRule="auto"/>
        <w:contextualSpacing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bookmarkEnd w:id="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2262"/>
      </w:tblGrid>
      <w:tr w:rsidR="00476B6F" w:rsidRPr="00E40DC1" w14:paraId="42AE16B4" w14:textId="77777777" w:rsidTr="002E6AAA">
        <w:trPr>
          <w:trHeight w:val="929"/>
        </w:trPr>
        <w:tc>
          <w:tcPr>
            <w:tcW w:w="5098" w:type="dxa"/>
            <w:vMerge w:val="restart"/>
            <w:shd w:val="clear" w:color="auto" w:fill="8DB3E2" w:themeFill="text2" w:themeFillTint="66"/>
          </w:tcPr>
          <w:p w14:paraId="5BEA8353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4EBCE470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3F947BFF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4530" w:type="dxa"/>
            <w:gridSpan w:val="2"/>
            <w:shd w:val="clear" w:color="auto" w:fill="8DB3E2" w:themeFill="text2" w:themeFillTint="66"/>
          </w:tcPr>
          <w:p w14:paraId="3E65C146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60B479E3" w14:textId="77777777" w:rsidR="00476B6F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PERCENTUALE DI RIBASSO </w:t>
            </w:r>
          </w:p>
          <w:p w14:paraId="06B4E30B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da applicare</w:t>
            </w:r>
          </w:p>
          <w:p w14:paraId="6476CDD9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all’importo posto a base di gara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soggetto a ribasso</w:t>
            </w:r>
          </w:p>
          <w:p w14:paraId="3CC3E828" w14:textId="77777777" w:rsidR="00476B6F" w:rsidRPr="00E40DC1" w:rsidRDefault="00476B6F" w:rsidP="002E6AAA">
            <w:pPr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476B6F" w:rsidRPr="00E40DC1" w14:paraId="21D2E2FE" w14:textId="77777777" w:rsidTr="002E6AAA">
        <w:tc>
          <w:tcPr>
            <w:tcW w:w="5098" w:type="dxa"/>
            <w:vMerge/>
            <w:shd w:val="clear" w:color="auto" w:fill="8DB3E2" w:themeFill="text2" w:themeFillTint="66"/>
          </w:tcPr>
          <w:p w14:paraId="2BA9DEDE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14:paraId="2ED7BE92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25B6AB4D" w14:textId="77777777" w:rsidR="00476B6F" w:rsidRPr="00E40DC1" w:rsidRDefault="00476B6F" w:rsidP="002E6AAA">
            <w:pPr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IN CIFRE </w:t>
            </w:r>
          </w:p>
        </w:tc>
        <w:tc>
          <w:tcPr>
            <w:tcW w:w="2262" w:type="dxa"/>
            <w:shd w:val="clear" w:color="auto" w:fill="8DB3E2" w:themeFill="text2" w:themeFillTint="66"/>
          </w:tcPr>
          <w:p w14:paraId="6BD66EA7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1C5FFA07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E40DC1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IN LETTERE</w:t>
            </w:r>
          </w:p>
          <w:p w14:paraId="29078DAD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476B6F" w:rsidRPr="00E40DC1" w14:paraId="7CAE458A" w14:textId="77777777" w:rsidTr="002E6AAA">
        <w:tc>
          <w:tcPr>
            <w:tcW w:w="5098" w:type="dxa"/>
          </w:tcPr>
          <w:p w14:paraId="325AE624" w14:textId="3D2BC9B6" w:rsidR="00476B6F" w:rsidRPr="009A580D" w:rsidRDefault="00476B6F" w:rsidP="002E6AAA">
            <w:pPr>
              <w:pStyle w:val="Paragrafoelenco"/>
              <w:numPr>
                <w:ilvl w:val="0"/>
                <w:numId w:val="8"/>
              </w:numPr>
              <w:spacing w:line="312" w:lineRule="auto"/>
              <w:ind w:left="316" w:hanging="316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_Hlk121758132"/>
            <w:r w:rsidRPr="009A580D">
              <w:rPr>
                <w:rFonts w:ascii="Century Gothic" w:hAnsi="Century Gothic"/>
                <w:sz w:val="20"/>
                <w:szCs w:val="20"/>
              </w:rPr>
              <w:t>Ribasso percentuale offerto da applicare all’importo posto a base di gara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soggetto a ribasso</w:t>
            </w:r>
            <w:r w:rsidRPr="009A580D">
              <w:rPr>
                <w:rFonts w:ascii="Century Gothic" w:hAnsi="Century Gothic"/>
                <w:sz w:val="20"/>
                <w:szCs w:val="20"/>
              </w:rPr>
              <w:t>, al netto dell’IVA e degli oneri per la sicurezza</w:t>
            </w:r>
            <w:bookmarkEnd w:id="1"/>
          </w:p>
        </w:tc>
        <w:tc>
          <w:tcPr>
            <w:tcW w:w="2268" w:type="dxa"/>
          </w:tcPr>
          <w:p w14:paraId="643BD1EF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65F1BC60" w14:textId="77777777" w:rsidR="00476B6F" w:rsidRPr="00E40DC1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262" w:type="dxa"/>
          </w:tcPr>
          <w:p w14:paraId="05D4A710" w14:textId="77777777" w:rsidR="00476B6F" w:rsidRDefault="00476B6F" w:rsidP="002E6AAA">
            <w:pPr>
              <w:tabs>
                <w:tab w:val="left" w:pos="0"/>
              </w:tabs>
              <w:spacing w:line="312" w:lineRule="auto"/>
              <w:contextualSpacing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4A19D1C6" w14:textId="77777777" w:rsidR="00476B6F" w:rsidRPr="00E562B3" w:rsidRDefault="00476B6F" w:rsidP="002E6AAA">
            <w:pP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</w:p>
          <w:p w14:paraId="5B918546" w14:textId="77777777" w:rsidR="00476B6F" w:rsidRDefault="00476B6F" w:rsidP="002E6AAA">
            <w:pP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</w:p>
          <w:p w14:paraId="78B2C14B" w14:textId="77777777" w:rsidR="00476B6F" w:rsidRPr="00E562B3" w:rsidRDefault="00476B6F" w:rsidP="002E6AAA">
            <w:pPr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</w:p>
        </w:tc>
      </w:tr>
    </w:tbl>
    <w:p w14:paraId="29C95BEE" w14:textId="77777777" w:rsidR="00AF31EA" w:rsidRPr="00AF31EA" w:rsidRDefault="00AF31EA" w:rsidP="00502832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0B259AB5" w14:textId="0C3CF18E" w:rsidR="00476B6F" w:rsidRPr="00E40DC1" w:rsidRDefault="00476B6F" w:rsidP="00476B6F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r w:rsidRPr="00476B6F">
        <w:rPr>
          <w:rFonts w:ascii="Century Gothic" w:hAnsi="Century Gothic"/>
          <w:i/>
          <w:sz w:val="20"/>
          <w:szCs w:val="20"/>
        </w:rPr>
        <w:t>si ricorda che non sono ammessi ribassi percentuali con più di due cifre decimali</w:t>
      </w:r>
      <w:r w:rsidRPr="00476B6F">
        <w:rPr>
          <w:rFonts w:ascii="Century Gothic" w:eastAsia="Times New Roman" w:hAnsi="Century Gothic" w:cs="Arial"/>
          <w:i/>
          <w:sz w:val="20"/>
          <w:szCs w:val="20"/>
          <w:lang w:eastAsia="it-IT"/>
        </w:rPr>
        <w:t>; oltre tale limite si procederà al troncamento del valore indicato senza arrotondamento).</w:t>
      </w:r>
    </w:p>
    <w:p w14:paraId="4C9B48A5" w14:textId="77777777" w:rsidR="00476B6F" w:rsidRDefault="00476B6F" w:rsidP="00562B05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0BE9F139" w14:textId="3CACCF58" w:rsidR="00562B05" w:rsidRPr="00AF31EA" w:rsidRDefault="00562B05" w:rsidP="00562B05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AF31EA">
        <w:rPr>
          <w:rFonts w:ascii="Century Gothic" w:eastAsia="Times New Roman" w:hAnsi="Century Gothic" w:cs="Arial"/>
          <w:sz w:val="20"/>
          <w:szCs w:val="20"/>
          <w:lang w:eastAsia="it-IT"/>
        </w:rPr>
        <w:t>Indica gli importi in euro delle seguenti voci di costo:</w:t>
      </w:r>
    </w:p>
    <w:p w14:paraId="28D7C258" w14:textId="77777777" w:rsidR="00562B05" w:rsidRPr="00562B05" w:rsidRDefault="00562B05" w:rsidP="00562B05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562B05" w:rsidRPr="00562B05" w14:paraId="3E6F2673" w14:textId="77777777" w:rsidTr="006567DD">
        <w:tc>
          <w:tcPr>
            <w:tcW w:w="6629" w:type="dxa"/>
            <w:shd w:val="clear" w:color="auto" w:fill="8DB3E2" w:themeFill="text2" w:themeFillTint="66"/>
          </w:tcPr>
          <w:p w14:paraId="78476B01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66E0F8AD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VOCE DI COSTO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5FB0F3AA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2280B366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IMPORTO ESPRESSO IN EURO</w:t>
            </w:r>
          </w:p>
        </w:tc>
      </w:tr>
      <w:tr w:rsidR="00562B05" w:rsidRPr="00562B05" w14:paraId="131C8BC0" w14:textId="77777777" w:rsidTr="006567DD">
        <w:trPr>
          <w:trHeight w:val="616"/>
        </w:trPr>
        <w:tc>
          <w:tcPr>
            <w:tcW w:w="6629" w:type="dxa"/>
          </w:tcPr>
          <w:p w14:paraId="4922CDD0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 - IMPORTO DELLA FORNITURA</w:t>
            </w:r>
          </w:p>
        </w:tc>
        <w:tc>
          <w:tcPr>
            <w:tcW w:w="2977" w:type="dxa"/>
          </w:tcPr>
          <w:p w14:paraId="573E7BB4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B30F0A" w:rsidRPr="00562B05" w14:paraId="76D38A9B" w14:textId="77777777" w:rsidTr="006567DD">
        <w:trPr>
          <w:trHeight w:val="616"/>
        </w:trPr>
        <w:tc>
          <w:tcPr>
            <w:tcW w:w="6629" w:type="dxa"/>
          </w:tcPr>
          <w:p w14:paraId="1AEA5025" w14:textId="37790AC7" w:rsidR="00B30F0A" w:rsidRPr="00562B05" w:rsidRDefault="00B30F0A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B – IMPORTO DELLA PROGETTAZIONE</w:t>
            </w:r>
          </w:p>
        </w:tc>
        <w:tc>
          <w:tcPr>
            <w:tcW w:w="2977" w:type="dxa"/>
          </w:tcPr>
          <w:p w14:paraId="2A115AC2" w14:textId="77777777" w:rsidR="00B30F0A" w:rsidRPr="00562B05" w:rsidRDefault="00B30F0A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62B05" w:rsidRPr="00562B05" w14:paraId="69AB35BA" w14:textId="77777777" w:rsidTr="006567DD">
        <w:trPr>
          <w:trHeight w:val="616"/>
        </w:trPr>
        <w:tc>
          <w:tcPr>
            <w:tcW w:w="6629" w:type="dxa"/>
          </w:tcPr>
          <w:p w14:paraId="4929F2AE" w14:textId="007083B0" w:rsidR="00562B05" w:rsidRPr="00562B05" w:rsidRDefault="00B30F0A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C</w:t>
            </w:r>
            <w:r w:rsidR="00562B05"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- STIMA COSTI AZIENDALI RELATIVI ALLA SALUTE E SICUREZZA (IVA ESCLUSA)</w:t>
            </w:r>
          </w:p>
        </w:tc>
        <w:tc>
          <w:tcPr>
            <w:tcW w:w="2977" w:type="dxa"/>
          </w:tcPr>
          <w:p w14:paraId="694FE44F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                 </w:t>
            </w:r>
          </w:p>
          <w:p w14:paraId="38F6A881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</w:t>
            </w:r>
          </w:p>
        </w:tc>
      </w:tr>
      <w:tr w:rsidR="00562B05" w:rsidRPr="00562B05" w14:paraId="027373EF" w14:textId="77777777" w:rsidTr="006567DD">
        <w:trPr>
          <w:trHeight w:val="663"/>
        </w:trPr>
        <w:tc>
          <w:tcPr>
            <w:tcW w:w="6629" w:type="dxa"/>
          </w:tcPr>
          <w:p w14:paraId="68390ABE" w14:textId="6B2016D3" w:rsidR="00562B05" w:rsidRPr="00562B05" w:rsidRDefault="00B30F0A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D</w:t>
            </w:r>
            <w:r w:rsidR="00562B05"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- STIMA COSTI MANODOPERA RELATIVI ALLE SOLE ATTIVITA’ DI INSTALLAZIONE</w:t>
            </w:r>
          </w:p>
        </w:tc>
        <w:tc>
          <w:tcPr>
            <w:tcW w:w="2977" w:type="dxa"/>
          </w:tcPr>
          <w:p w14:paraId="6F5E039F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04BDDA7C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  </w:t>
            </w:r>
          </w:p>
        </w:tc>
      </w:tr>
      <w:tr w:rsidR="00562B05" w:rsidRPr="00562B05" w14:paraId="3C5DD561" w14:textId="77777777" w:rsidTr="006567DD">
        <w:tc>
          <w:tcPr>
            <w:tcW w:w="6629" w:type="dxa"/>
          </w:tcPr>
          <w:p w14:paraId="223343BC" w14:textId="4F495AAF" w:rsidR="00562B05" w:rsidRPr="00562B05" w:rsidRDefault="00B30F0A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E</w:t>
            </w:r>
            <w:r w:rsidR="00562B05"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- SPESE GENERALI</w:t>
            </w:r>
          </w:p>
        </w:tc>
        <w:tc>
          <w:tcPr>
            <w:tcW w:w="2977" w:type="dxa"/>
          </w:tcPr>
          <w:p w14:paraId="23BA47B6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62B05" w:rsidRPr="00562B05" w14:paraId="51A70010" w14:textId="77777777" w:rsidTr="006567DD">
        <w:tc>
          <w:tcPr>
            <w:tcW w:w="6629" w:type="dxa"/>
          </w:tcPr>
          <w:p w14:paraId="76CFAFEB" w14:textId="56BF3BEC" w:rsidR="00562B05" w:rsidRPr="00562B05" w:rsidRDefault="00B30F0A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F</w:t>
            </w:r>
            <w:r w:rsidR="00562B05"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– UTILE</w:t>
            </w:r>
          </w:p>
        </w:tc>
        <w:tc>
          <w:tcPr>
            <w:tcW w:w="2977" w:type="dxa"/>
          </w:tcPr>
          <w:p w14:paraId="189CC7BB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C44D76" w:rsidRPr="00562B05" w14:paraId="09AB848F" w14:textId="77777777" w:rsidTr="006567DD">
        <w:tc>
          <w:tcPr>
            <w:tcW w:w="6629" w:type="dxa"/>
          </w:tcPr>
          <w:p w14:paraId="029C1D7C" w14:textId="77A9D75A" w:rsidR="00C44D76" w:rsidRPr="00562B05" w:rsidRDefault="00B30F0A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G</w:t>
            </w:r>
            <w:r w:rsidR="00C44D76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– ALTRO </w:t>
            </w:r>
            <w:r w:rsidR="002D27B3" w:rsidRPr="002D27B3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(</w:t>
            </w:r>
            <w:r w:rsidR="002D27B3" w:rsidRPr="002D27B3">
              <w:rPr>
                <w:rFonts w:ascii="Century Gothic" w:eastAsia="Times New Roman" w:hAnsi="Century Gothic" w:cs="Arial"/>
                <w:i/>
                <w:sz w:val="20"/>
                <w:szCs w:val="20"/>
                <w:lang w:eastAsia="it-IT"/>
              </w:rPr>
              <w:t>Eventuale)</w:t>
            </w:r>
          </w:p>
        </w:tc>
        <w:tc>
          <w:tcPr>
            <w:tcW w:w="2977" w:type="dxa"/>
          </w:tcPr>
          <w:p w14:paraId="3A23C78F" w14:textId="77777777" w:rsidR="00C44D76" w:rsidRPr="00562B05" w:rsidRDefault="00C44D76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562B05" w:rsidRPr="00562B05" w14:paraId="15A45C06" w14:textId="77777777" w:rsidTr="006567DD">
        <w:tc>
          <w:tcPr>
            <w:tcW w:w="6629" w:type="dxa"/>
          </w:tcPr>
          <w:p w14:paraId="0EBA4952" w14:textId="09C4F4D3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TOTALE (non superiore all’importo posto a base di gara </w:t>
            </w:r>
            <w:r w:rsidR="00C474D2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soggetto a ribasso </w:t>
            </w: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pari a</w:t>
            </w:r>
            <w:bookmarkStart w:id="2" w:name="_GoBack"/>
            <w:bookmarkEnd w:id="2"/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€ </w:t>
            </w:r>
            <w:r w:rsidR="00C474D2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1.319.000</w:t>
            </w: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,00)</w:t>
            </w:r>
          </w:p>
          <w:p w14:paraId="1B9B8AA9" w14:textId="3C1842BC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562B05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A + B+ C+ D+ E </w:t>
            </w:r>
            <w:r w:rsidR="00C44D76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+ F</w:t>
            </w:r>
            <w:r w:rsidR="00B30F0A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+ G</w:t>
            </w:r>
          </w:p>
        </w:tc>
        <w:tc>
          <w:tcPr>
            <w:tcW w:w="2977" w:type="dxa"/>
          </w:tcPr>
          <w:p w14:paraId="39232DE4" w14:textId="77777777" w:rsidR="00562B05" w:rsidRPr="00562B05" w:rsidRDefault="00562B05" w:rsidP="00562B05">
            <w:pPr>
              <w:tabs>
                <w:tab w:val="left" w:pos="0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423F5011" w14:textId="11EF60F7" w:rsidR="00562B05" w:rsidRDefault="00562B05" w:rsidP="00502832">
      <w:pPr>
        <w:tabs>
          <w:tab w:val="left" w:pos="0"/>
        </w:tabs>
        <w:spacing w:after="0" w:line="312" w:lineRule="auto"/>
        <w:contextualSpacing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C55D478" w14:textId="77777777" w:rsidR="00B2076D" w:rsidRPr="00E40DC1" w:rsidRDefault="00B2076D" w:rsidP="00502832">
      <w:pPr>
        <w:spacing w:after="0" w:line="312" w:lineRule="auto"/>
        <w:contextualSpacing/>
        <w:rPr>
          <w:rFonts w:ascii="Century Gothic" w:hAnsi="Century Gothic"/>
          <w:sz w:val="20"/>
          <w:szCs w:val="20"/>
        </w:rPr>
      </w:pPr>
    </w:p>
    <w:p w14:paraId="0CA61143" w14:textId="77777777" w:rsidR="00586279" w:rsidRPr="00E40DC1" w:rsidRDefault="00586279" w:rsidP="00502832">
      <w:pPr>
        <w:keepNext/>
        <w:spacing w:after="0" w:line="312" w:lineRule="auto"/>
        <w:contextualSpacing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lastRenderedPageBreak/>
        <w:t>DICHIARA INOLTRE</w:t>
      </w:r>
    </w:p>
    <w:p w14:paraId="59F0EB0A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</w:p>
    <w:p w14:paraId="572A1727" w14:textId="5482FE29" w:rsidR="00215F89" w:rsidRPr="00E40DC1" w:rsidRDefault="00215F89" w:rsidP="00502832">
      <w:pPr>
        <w:numPr>
          <w:ilvl w:val="0"/>
          <w:numId w:val="1"/>
        </w:numPr>
        <w:tabs>
          <w:tab w:val="num" w:pos="312"/>
        </w:tabs>
        <w:spacing w:after="0" w:line="312" w:lineRule="auto"/>
        <w:ind w:hanging="1065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l’offerta tiene conto di tutte le prestazioni richieste dal Capitolato speciale d’</w:t>
      </w:r>
      <w:r w:rsidR="00512F60">
        <w:rPr>
          <w:rFonts w:ascii="Century Gothic" w:eastAsia="Times New Roman" w:hAnsi="Century Gothic" w:cs="Arial"/>
          <w:sz w:val="20"/>
          <w:szCs w:val="20"/>
          <w:lang w:eastAsia="it-IT"/>
        </w:rPr>
        <w:t>oneri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04C71301" w14:textId="77777777" w:rsidR="00215F89" w:rsidRPr="000E35BC" w:rsidRDefault="00215F89" w:rsidP="00502832">
      <w:pPr>
        <w:numPr>
          <w:ilvl w:val="0"/>
          <w:numId w:val="1"/>
        </w:numPr>
        <w:tabs>
          <w:tab w:val="num" w:pos="312"/>
        </w:tabs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che l’offerta è remunerativa e tiene conto di quanto serve per il regolare svolgimento delle attività e consente di assicurare ai lavoratori impiegati il trattamento economico e contributivo minimo previsto dal contratto </w:t>
      </w:r>
      <w:r w:rsidRPr="000E35BC">
        <w:rPr>
          <w:rFonts w:ascii="Century Gothic" w:eastAsia="Times New Roman" w:hAnsi="Century Gothic" w:cs="Arial"/>
          <w:sz w:val="20"/>
          <w:szCs w:val="20"/>
          <w:lang w:eastAsia="it-IT"/>
        </w:rPr>
        <w:t>collettivo di riferimento;</w:t>
      </w:r>
    </w:p>
    <w:p w14:paraId="6430CD0D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0E35BC">
        <w:rPr>
          <w:rFonts w:ascii="Century Gothic" w:eastAsia="Times New Roman" w:hAnsi="Century Gothic" w:cs="Arial"/>
          <w:sz w:val="20"/>
          <w:szCs w:val="20"/>
          <w:lang w:eastAsia="it-IT"/>
        </w:rPr>
        <w:t>che la presente offerta ha una validità di giorni 180 (centottanta) dalla data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stabilita quale termine per la presentazione delle offerte e ha valore di proposta contrattuale ai sensi dell’art. 1329 del codice civile;</w:t>
      </w:r>
    </w:p>
    <w:p w14:paraId="3F3754B3" w14:textId="0BAEC1D6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che l’offerta comprende e compensa le spese generali ed utili dell’Affidatario, le assicurazioni e tutti gli oneri accessori che lo stesso dovrà </w:t>
      </w:r>
      <w:r w:rsidRPr="000E35BC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sostenere anche se non esplicitamente indicati nella documentazione di gara, necessari per assicurare la perfetta esecuzione </w:t>
      </w:r>
      <w:r w:rsidR="000E35BC" w:rsidRPr="000E35BC">
        <w:rPr>
          <w:rFonts w:ascii="Century Gothic" w:eastAsia="Times New Roman" w:hAnsi="Century Gothic" w:cs="Arial"/>
          <w:sz w:val="20"/>
          <w:szCs w:val="20"/>
          <w:lang w:eastAsia="it-IT"/>
        </w:rPr>
        <w:t>della fornitura.</w:t>
      </w:r>
      <w:r w:rsidRPr="000E35BC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Il prezzo</w:t>
      </w: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s’intende fissato dall’Affidatario in base a calcoli di propria assoluta convenienza per cui il medesimo ne assume tutti i rischi; </w:t>
      </w:r>
    </w:p>
    <w:p w14:paraId="48B91CDC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prendere atto che tale offerta economica non vincola in alcun modo l’Amministrazione appaltante; </w:t>
      </w:r>
    </w:p>
    <w:p w14:paraId="009508DB" w14:textId="77777777" w:rsidR="00215F89" w:rsidRPr="00E40DC1" w:rsidRDefault="00215F89" w:rsidP="00502832">
      <w:pPr>
        <w:numPr>
          <w:ilvl w:val="0"/>
          <w:numId w:val="1"/>
        </w:numPr>
        <w:spacing w:after="0" w:line="312" w:lineRule="auto"/>
        <w:ind w:left="336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la scrivente Impresa non ha nulla da pretendere dal Politecnico di Torino, a qualsiasi titolo, in ragione della formulazione della presente offerta;</w:t>
      </w:r>
    </w:p>
    <w:p w14:paraId="7081605E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  <w:tab w:val="num" w:pos="705"/>
        </w:tabs>
        <w:spacing w:after="0" w:line="312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esso;</w:t>
      </w:r>
    </w:p>
    <w:p w14:paraId="2E5AF9CD" w14:textId="77777777" w:rsidR="00215F89" w:rsidRPr="00E40DC1" w:rsidRDefault="00215F89" w:rsidP="00502832">
      <w:pPr>
        <w:numPr>
          <w:ilvl w:val="0"/>
          <w:numId w:val="1"/>
        </w:numPr>
        <w:tabs>
          <w:tab w:val="num" w:pos="312"/>
          <w:tab w:val="num" w:pos="705"/>
        </w:tabs>
        <w:spacing w:after="0" w:line="312" w:lineRule="auto"/>
        <w:ind w:left="336" w:right="-10" w:hanging="336"/>
        <w:contextualSpacing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che i relativi pagamenti saranno effettuati esclusivamente a mezzo bonifico bancario o postale, ovvero con altri strumenti di pagamento idonei a consentire la piena tracciabilità delle operazioni.</w:t>
      </w:r>
    </w:p>
    <w:p w14:paraId="3C63ED28" w14:textId="47036D64" w:rsidR="00586279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69887708" w14:textId="77777777" w:rsidR="00854238" w:rsidRPr="00E40DC1" w:rsidRDefault="00854238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608DFBB5" w14:textId="77777777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Il Legale Rappresentante/Titolare dell’Impresa</w:t>
      </w:r>
    </w:p>
    <w:p w14:paraId="49F56670" w14:textId="2BE8502F" w:rsidR="00586279" w:rsidRPr="00E40DC1" w:rsidRDefault="00586279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E40DC1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377A29E1" w14:textId="64A57A79" w:rsidR="00854238" w:rsidRDefault="00854238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04C248A6" w14:textId="2C69B065" w:rsidR="00DD7E44" w:rsidRDefault="00DD7E44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6DA0CCFC" w14:textId="4CE4C586" w:rsidR="00DD7E44" w:rsidRDefault="00DD7E44" w:rsidP="00502832">
      <w:pPr>
        <w:spacing w:after="0" w:line="312" w:lineRule="auto"/>
        <w:contextualSpacing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2B83F0B" w14:textId="77777777" w:rsidR="00586279" w:rsidRPr="00DD7E44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</w:pPr>
      <w:r w:rsidRPr="00DD7E44"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  <w:t xml:space="preserve">Note </w:t>
      </w:r>
    </w:p>
    <w:p w14:paraId="61575FD6" w14:textId="57EB91E5" w:rsidR="00586279" w:rsidRPr="00DD7E44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DD7E44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L’offerta economica deve essere </w:t>
      </w:r>
      <w:r w:rsidRPr="00DD7E44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="00572835" w:rsidRPr="00DD7E44">
        <w:rPr>
          <w:rFonts w:ascii="Century Gothic" w:eastAsia="Times New Roman" w:hAnsi="Century Gothic" w:cs="Arial"/>
          <w:b/>
          <w:sz w:val="18"/>
          <w:szCs w:val="18"/>
          <w:lang w:eastAsia="it-IT"/>
        </w:rPr>
        <w:t xml:space="preserve">, </w:t>
      </w:r>
      <w:r w:rsidR="00572835" w:rsidRPr="00DD7E44">
        <w:rPr>
          <w:rFonts w:ascii="Century Gothic" w:hAnsi="Century Gothic" w:cs="Calibri"/>
          <w:sz w:val="18"/>
          <w:szCs w:val="18"/>
        </w:rPr>
        <w:t>secondo le modalità previste al</w:t>
      </w:r>
      <w:r w:rsidR="00E72976" w:rsidRPr="00DD7E44">
        <w:rPr>
          <w:rFonts w:ascii="Century Gothic" w:hAnsi="Century Gothic" w:cs="Calibri"/>
          <w:sz w:val="18"/>
          <w:szCs w:val="18"/>
        </w:rPr>
        <w:t xml:space="preserve"> </w:t>
      </w:r>
      <w:r w:rsidR="00572835" w:rsidRPr="00DD7E44">
        <w:rPr>
          <w:rFonts w:ascii="Century Gothic" w:hAnsi="Century Gothic" w:cs="Calibri"/>
          <w:sz w:val="18"/>
          <w:szCs w:val="18"/>
        </w:rPr>
        <w:t>punto 1</w:t>
      </w:r>
      <w:r w:rsidR="00512F60" w:rsidRPr="00DD7E44">
        <w:rPr>
          <w:rFonts w:ascii="Century Gothic" w:hAnsi="Century Gothic" w:cs="Calibri"/>
          <w:sz w:val="18"/>
          <w:szCs w:val="18"/>
        </w:rPr>
        <w:t>3</w:t>
      </w:r>
      <w:r w:rsidR="00572835" w:rsidRPr="00DD7E44">
        <w:rPr>
          <w:rFonts w:ascii="Century Gothic" w:hAnsi="Century Gothic" w:cs="Calibri"/>
          <w:sz w:val="18"/>
          <w:szCs w:val="18"/>
        </w:rPr>
        <w:t xml:space="preserve">.1 del disciplinare di gara, </w:t>
      </w:r>
      <w:r w:rsidRPr="00DD7E44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dal legale rappresentante dell’operatore economico concorrente; </w:t>
      </w:r>
    </w:p>
    <w:p w14:paraId="70048296" w14:textId="77777777" w:rsidR="00586279" w:rsidRPr="00DD7E44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DD7E44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nel caso di RTI costituito, dal Legale rappresentante della società mandataria; </w:t>
      </w:r>
    </w:p>
    <w:p w14:paraId="63012DFE" w14:textId="19ED4C03" w:rsidR="00A453E8" w:rsidRPr="00DD7E44" w:rsidRDefault="00586279" w:rsidP="00502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DD7E44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costituendo, dai legali rappresentanti di ciascun operatore economico che partecipa alla procedura in forma congiunta.</w:t>
      </w:r>
    </w:p>
    <w:sectPr w:rsidR="00A453E8" w:rsidRPr="00DD7E4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F26D93F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26">
          <w:rPr>
            <w:noProof/>
          </w:rPr>
          <w:t>1</w:t>
        </w:r>
        <w:r>
          <w:fldChar w:fldCharType="end"/>
        </w:r>
      </w:p>
    </w:sdtContent>
  </w:sdt>
  <w:p w14:paraId="108FAEC1" w14:textId="6A8262F6" w:rsidR="00EF3813" w:rsidRDefault="00E562B3">
    <w:pPr>
      <w:pStyle w:val="Pidipagina"/>
    </w:pPr>
    <w:r>
      <w:rPr>
        <w:rFonts w:ascii="Century Gothic" w:hAnsi="Century Gothic"/>
        <w:noProof/>
        <w:color w:val="E57200"/>
        <w:lang w:val="en-US"/>
      </w:rPr>
      <w:drawing>
        <wp:anchor distT="0" distB="0" distL="114300" distR="114300" simplePos="0" relativeHeight="251659264" behindDoc="1" locked="0" layoutInCell="1" allowOverlap="1" wp14:anchorId="7DB38A92" wp14:editId="74D03D04">
          <wp:simplePos x="0" y="0"/>
          <wp:positionH relativeFrom="margin">
            <wp:posOffset>-171450</wp:posOffset>
          </wp:positionH>
          <wp:positionV relativeFrom="paragraph">
            <wp:posOffset>132080</wp:posOffset>
          </wp:positionV>
          <wp:extent cx="6455410" cy="593725"/>
          <wp:effectExtent l="0" t="0" r="0" b="317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84" b="13035"/>
                  <a:stretch/>
                </pic:blipFill>
                <pic:spPr bwMode="auto">
                  <a:xfrm>
                    <a:off x="0" y="0"/>
                    <a:ext cx="6455410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C42CE" w14:textId="7645B01E" w:rsidR="00E562B3" w:rsidRDefault="00E562B3">
    <w:pPr>
      <w:pStyle w:val="Pidipagina"/>
    </w:pPr>
  </w:p>
  <w:p w14:paraId="2CF3910A" w14:textId="5BFDB23C" w:rsidR="00E562B3" w:rsidRDefault="00E562B3">
    <w:pPr>
      <w:pStyle w:val="Pidipagina"/>
    </w:pPr>
  </w:p>
  <w:p w14:paraId="2EAB8A07" w14:textId="77777777" w:rsidR="00E562B3" w:rsidRDefault="00E562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C97"/>
    <w:multiLevelType w:val="hybridMultilevel"/>
    <w:tmpl w:val="BB30C09A"/>
    <w:lvl w:ilvl="0" w:tplc="7804D31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384F7F9A"/>
    <w:multiLevelType w:val="hybridMultilevel"/>
    <w:tmpl w:val="85C68A12"/>
    <w:lvl w:ilvl="0" w:tplc="660E97B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48A34E57"/>
    <w:multiLevelType w:val="hybridMultilevel"/>
    <w:tmpl w:val="308CD3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16D7F"/>
    <w:multiLevelType w:val="hybridMultilevel"/>
    <w:tmpl w:val="57E09230"/>
    <w:lvl w:ilvl="0" w:tplc="7700BFE6">
      <w:start w:val="1"/>
      <w:numFmt w:val="upperLetter"/>
      <w:lvlText w:val="%1)"/>
      <w:lvlJc w:val="left"/>
      <w:pPr>
        <w:ind w:left="107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987463A"/>
    <w:multiLevelType w:val="hybridMultilevel"/>
    <w:tmpl w:val="A4025826"/>
    <w:lvl w:ilvl="0" w:tplc="3E722A0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B0432"/>
    <w:multiLevelType w:val="hybridMultilevel"/>
    <w:tmpl w:val="54A4A5F2"/>
    <w:lvl w:ilvl="0" w:tplc="31AAAEAA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54"/>
    <w:rsid w:val="00000238"/>
    <w:rsid w:val="00006706"/>
    <w:rsid w:val="00020E76"/>
    <w:rsid w:val="00027D92"/>
    <w:rsid w:val="00031B52"/>
    <w:rsid w:val="0003449C"/>
    <w:rsid w:val="00035F30"/>
    <w:rsid w:val="00042DED"/>
    <w:rsid w:val="00060EC1"/>
    <w:rsid w:val="000720FB"/>
    <w:rsid w:val="00072450"/>
    <w:rsid w:val="000857F8"/>
    <w:rsid w:val="000900F8"/>
    <w:rsid w:val="00095421"/>
    <w:rsid w:val="000B6A69"/>
    <w:rsid w:val="000B780B"/>
    <w:rsid w:val="000D35CB"/>
    <w:rsid w:val="000D47AE"/>
    <w:rsid w:val="000E35BC"/>
    <w:rsid w:val="000E3CC5"/>
    <w:rsid w:val="0012144A"/>
    <w:rsid w:val="00122BCE"/>
    <w:rsid w:val="0012501F"/>
    <w:rsid w:val="00135C7E"/>
    <w:rsid w:val="001417E3"/>
    <w:rsid w:val="00151E20"/>
    <w:rsid w:val="00156D94"/>
    <w:rsid w:val="001575A5"/>
    <w:rsid w:val="001A3BB2"/>
    <w:rsid w:val="001A6032"/>
    <w:rsid w:val="001D32AC"/>
    <w:rsid w:val="001E190A"/>
    <w:rsid w:val="001F43C5"/>
    <w:rsid w:val="00203309"/>
    <w:rsid w:val="002039D8"/>
    <w:rsid w:val="00215F89"/>
    <w:rsid w:val="002232E8"/>
    <w:rsid w:val="00247317"/>
    <w:rsid w:val="0024786E"/>
    <w:rsid w:val="0027021D"/>
    <w:rsid w:val="0027134A"/>
    <w:rsid w:val="00277296"/>
    <w:rsid w:val="002941BB"/>
    <w:rsid w:val="002967EF"/>
    <w:rsid w:val="002A29F5"/>
    <w:rsid w:val="002A4565"/>
    <w:rsid w:val="002B4FC0"/>
    <w:rsid w:val="002C1506"/>
    <w:rsid w:val="002C247D"/>
    <w:rsid w:val="002D0F2A"/>
    <w:rsid w:val="002D1BEF"/>
    <w:rsid w:val="002D27B3"/>
    <w:rsid w:val="002D4E57"/>
    <w:rsid w:val="002D528B"/>
    <w:rsid w:val="002E5213"/>
    <w:rsid w:val="002F0264"/>
    <w:rsid w:val="002F4545"/>
    <w:rsid w:val="002F7512"/>
    <w:rsid w:val="00306536"/>
    <w:rsid w:val="00324431"/>
    <w:rsid w:val="003252E2"/>
    <w:rsid w:val="00342624"/>
    <w:rsid w:val="00361BA7"/>
    <w:rsid w:val="00371C6A"/>
    <w:rsid w:val="00385286"/>
    <w:rsid w:val="0039346E"/>
    <w:rsid w:val="0039595E"/>
    <w:rsid w:val="003C29E5"/>
    <w:rsid w:val="003C2F63"/>
    <w:rsid w:val="003D7B8C"/>
    <w:rsid w:val="003E01BA"/>
    <w:rsid w:val="003E08C7"/>
    <w:rsid w:val="003F3AD9"/>
    <w:rsid w:val="004011E9"/>
    <w:rsid w:val="00403E60"/>
    <w:rsid w:val="00422C5F"/>
    <w:rsid w:val="00435E19"/>
    <w:rsid w:val="00476B6F"/>
    <w:rsid w:val="00484328"/>
    <w:rsid w:val="00485B47"/>
    <w:rsid w:val="004901DD"/>
    <w:rsid w:val="00490CDB"/>
    <w:rsid w:val="0049170C"/>
    <w:rsid w:val="004928E4"/>
    <w:rsid w:val="00495226"/>
    <w:rsid w:val="004A71C3"/>
    <w:rsid w:val="004B68AA"/>
    <w:rsid w:val="004C7523"/>
    <w:rsid w:val="004D128E"/>
    <w:rsid w:val="004D50D7"/>
    <w:rsid w:val="004D5885"/>
    <w:rsid w:val="004E560E"/>
    <w:rsid w:val="004E788F"/>
    <w:rsid w:val="00502832"/>
    <w:rsid w:val="00505425"/>
    <w:rsid w:val="00512F60"/>
    <w:rsid w:val="005142E5"/>
    <w:rsid w:val="00516E1B"/>
    <w:rsid w:val="0052132B"/>
    <w:rsid w:val="00540A74"/>
    <w:rsid w:val="00550A9A"/>
    <w:rsid w:val="00551456"/>
    <w:rsid w:val="00553B2A"/>
    <w:rsid w:val="00562B05"/>
    <w:rsid w:val="00565455"/>
    <w:rsid w:val="00572835"/>
    <w:rsid w:val="0057348F"/>
    <w:rsid w:val="005754E0"/>
    <w:rsid w:val="00586279"/>
    <w:rsid w:val="005E5B4C"/>
    <w:rsid w:val="005F11B2"/>
    <w:rsid w:val="006039EA"/>
    <w:rsid w:val="006162D7"/>
    <w:rsid w:val="00616B14"/>
    <w:rsid w:val="00642B05"/>
    <w:rsid w:val="006467C3"/>
    <w:rsid w:val="006541EA"/>
    <w:rsid w:val="0066112C"/>
    <w:rsid w:val="00687C7E"/>
    <w:rsid w:val="006930DB"/>
    <w:rsid w:val="00697DF9"/>
    <w:rsid w:val="006A015F"/>
    <w:rsid w:val="006A317B"/>
    <w:rsid w:val="006A5987"/>
    <w:rsid w:val="006B190D"/>
    <w:rsid w:val="006D3711"/>
    <w:rsid w:val="006D6848"/>
    <w:rsid w:val="006F5EE1"/>
    <w:rsid w:val="0070353A"/>
    <w:rsid w:val="0074110C"/>
    <w:rsid w:val="0074477A"/>
    <w:rsid w:val="00785F82"/>
    <w:rsid w:val="00791118"/>
    <w:rsid w:val="0079168E"/>
    <w:rsid w:val="00797906"/>
    <w:rsid w:val="007A6CA0"/>
    <w:rsid w:val="007A73E5"/>
    <w:rsid w:val="007B6D95"/>
    <w:rsid w:val="007C4ADD"/>
    <w:rsid w:val="007D6E0C"/>
    <w:rsid w:val="007D71A8"/>
    <w:rsid w:val="007E5B3B"/>
    <w:rsid w:val="007E756F"/>
    <w:rsid w:val="007F1D4D"/>
    <w:rsid w:val="007F6B68"/>
    <w:rsid w:val="007F7FB5"/>
    <w:rsid w:val="00802705"/>
    <w:rsid w:val="00805456"/>
    <w:rsid w:val="00815ACE"/>
    <w:rsid w:val="00831335"/>
    <w:rsid w:val="00840B77"/>
    <w:rsid w:val="00842452"/>
    <w:rsid w:val="00844B12"/>
    <w:rsid w:val="0084681A"/>
    <w:rsid w:val="00854238"/>
    <w:rsid w:val="0086786C"/>
    <w:rsid w:val="0087365E"/>
    <w:rsid w:val="00874756"/>
    <w:rsid w:val="00874978"/>
    <w:rsid w:val="00875263"/>
    <w:rsid w:val="00880D89"/>
    <w:rsid w:val="00884C0A"/>
    <w:rsid w:val="0089180D"/>
    <w:rsid w:val="008A24E3"/>
    <w:rsid w:val="008C1B1D"/>
    <w:rsid w:val="008C38C6"/>
    <w:rsid w:val="008C4CED"/>
    <w:rsid w:val="008D22DB"/>
    <w:rsid w:val="008E1D0E"/>
    <w:rsid w:val="008E53EA"/>
    <w:rsid w:val="00924851"/>
    <w:rsid w:val="00934414"/>
    <w:rsid w:val="00936317"/>
    <w:rsid w:val="009451B8"/>
    <w:rsid w:val="00961BC7"/>
    <w:rsid w:val="009729AC"/>
    <w:rsid w:val="00997782"/>
    <w:rsid w:val="009A00E1"/>
    <w:rsid w:val="009A580D"/>
    <w:rsid w:val="009B41E1"/>
    <w:rsid w:val="009C65BA"/>
    <w:rsid w:val="009C6E45"/>
    <w:rsid w:val="009D0D9E"/>
    <w:rsid w:val="009D3045"/>
    <w:rsid w:val="009D68FB"/>
    <w:rsid w:val="009F4FC2"/>
    <w:rsid w:val="00A0715F"/>
    <w:rsid w:val="00A144A5"/>
    <w:rsid w:val="00A15D81"/>
    <w:rsid w:val="00A20226"/>
    <w:rsid w:val="00A44E29"/>
    <w:rsid w:val="00A453E8"/>
    <w:rsid w:val="00A50097"/>
    <w:rsid w:val="00A545E3"/>
    <w:rsid w:val="00A66FA2"/>
    <w:rsid w:val="00A94393"/>
    <w:rsid w:val="00AA0D8C"/>
    <w:rsid w:val="00AA3632"/>
    <w:rsid w:val="00AB4FF2"/>
    <w:rsid w:val="00AC3092"/>
    <w:rsid w:val="00AD270C"/>
    <w:rsid w:val="00AD681F"/>
    <w:rsid w:val="00AE36DB"/>
    <w:rsid w:val="00AF31EA"/>
    <w:rsid w:val="00AF6396"/>
    <w:rsid w:val="00B03D24"/>
    <w:rsid w:val="00B1251C"/>
    <w:rsid w:val="00B2076D"/>
    <w:rsid w:val="00B30F0A"/>
    <w:rsid w:val="00B3137F"/>
    <w:rsid w:val="00B404E5"/>
    <w:rsid w:val="00B54C81"/>
    <w:rsid w:val="00B6696C"/>
    <w:rsid w:val="00B73609"/>
    <w:rsid w:val="00B8645D"/>
    <w:rsid w:val="00B97898"/>
    <w:rsid w:val="00BA3EE2"/>
    <w:rsid w:val="00BD1720"/>
    <w:rsid w:val="00BE1DB3"/>
    <w:rsid w:val="00BF741E"/>
    <w:rsid w:val="00BF7A26"/>
    <w:rsid w:val="00C0593E"/>
    <w:rsid w:val="00C209AA"/>
    <w:rsid w:val="00C23183"/>
    <w:rsid w:val="00C35EA5"/>
    <w:rsid w:val="00C44D76"/>
    <w:rsid w:val="00C474D2"/>
    <w:rsid w:val="00C81742"/>
    <w:rsid w:val="00C8690F"/>
    <w:rsid w:val="00C87524"/>
    <w:rsid w:val="00C877C4"/>
    <w:rsid w:val="00CC0AD6"/>
    <w:rsid w:val="00CC6A16"/>
    <w:rsid w:val="00CD37A1"/>
    <w:rsid w:val="00CE75AB"/>
    <w:rsid w:val="00D02440"/>
    <w:rsid w:val="00D258D5"/>
    <w:rsid w:val="00D25D26"/>
    <w:rsid w:val="00D6482B"/>
    <w:rsid w:val="00D851D2"/>
    <w:rsid w:val="00DC1FD7"/>
    <w:rsid w:val="00DC306B"/>
    <w:rsid w:val="00DC3564"/>
    <w:rsid w:val="00DC6437"/>
    <w:rsid w:val="00DD6626"/>
    <w:rsid w:val="00DD7E44"/>
    <w:rsid w:val="00DE616A"/>
    <w:rsid w:val="00DF2BE9"/>
    <w:rsid w:val="00DF2E7B"/>
    <w:rsid w:val="00DF386B"/>
    <w:rsid w:val="00DF6C0A"/>
    <w:rsid w:val="00E06146"/>
    <w:rsid w:val="00E066CF"/>
    <w:rsid w:val="00E25ABA"/>
    <w:rsid w:val="00E27356"/>
    <w:rsid w:val="00E338A4"/>
    <w:rsid w:val="00E36C96"/>
    <w:rsid w:val="00E40DC1"/>
    <w:rsid w:val="00E4780A"/>
    <w:rsid w:val="00E530EE"/>
    <w:rsid w:val="00E562B3"/>
    <w:rsid w:val="00E62C94"/>
    <w:rsid w:val="00E70415"/>
    <w:rsid w:val="00E72976"/>
    <w:rsid w:val="00E930CB"/>
    <w:rsid w:val="00EC0462"/>
    <w:rsid w:val="00EC057D"/>
    <w:rsid w:val="00EC3A77"/>
    <w:rsid w:val="00EC7558"/>
    <w:rsid w:val="00EF0D0C"/>
    <w:rsid w:val="00EF3813"/>
    <w:rsid w:val="00F0400E"/>
    <w:rsid w:val="00F15539"/>
    <w:rsid w:val="00F15A99"/>
    <w:rsid w:val="00F849AF"/>
    <w:rsid w:val="00F86633"/>
    <w:rsid w:val="00FA321B"/>
    <w:rsid w:val="00FB55D0"/>
    <w:rsid w:val="00FD0354"/>
    <w:rsid w:val="00FD6F68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5F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53B8-76F5-43E6-B873-1FC53248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Maria  Glorioso</cp:lastModifiedBy>
  <cp:revision>40</cp:revision>
  <dcterms:created xsi:type="dcterms:W3CDTF">2022-12-12T15:51:00Z</dcterms:created>
  <dcterms:modified xsi:type="dcterms:W3CDTF">2023-06-28T12:58:00Z</dcterms:modified>
</cp:coreProperties>
</file>