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437"/>
      </w:tblGrid>
      <w:tr w:rsidR="00282C61" w:rsidRPr="00143D0F" w14:paraId="4EB292D2" w14:textId="77777777" w:rsidTr="006C1C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DB6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68E352A0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A6D5" w14:textId="77777777" w:rsidR="002F1092" w:rsidRPr="002F1092" w:rsidRDefault="002F1092" w:rsidP="002F1092">
            <w:pPr>
              <w:spacing w:after="200" w:line="276" w:lineRule="auto"/>
              <w:ind w:right="-2"/>
              <w:contextualSpacing/>
              <w:jc w:val="both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bookmarkStart w:id="0" w:name="_Toc137201709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0"/>
          </w:p>
          <w:p w14:paraId="4CA1F5D8" w14:textId="77777777" w:rsidR="002F1092" w:rsidRPr="002F1092" w:rsidRDefault="002F1092" w:rsidP="002F1092">
            <w:pPr>
              <w:spacing w:after="200" w:line="276" w:lineRule="auto"/>
              <w:ind w:right="-2"/>
              <w:contextualSpacing/>
              <w:jc w:val="both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bookmarkStart w:id="1" w:name="_Toc137201710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2" w:name="_Toc507419968"/>
            <w:bookmarkEnd w:id="1"/>
          </w:p>
          <w:p w14:paraId="7C614FB5" w14:textId="77777777" w:rsidR="002F1092" w:rsidRPr="002F1092" w:rsidRDefault="002F1092" w:rsidP="002F1092">
            <w:pPr>
              <w:spacing w:after="200" w:line="276" w:lineRule="auto"/>
              <w:ind w:right="-2"/>
              <w:contextualSpacing/>
              <w:jc w:val="both"/>
              <w:rPr>
                <w:rFonts w:ascii="Century Gothic" w:eastAsia="Calibri" w:hAnsi="Century Gothic" w:cs="Times New Roman"/>
                <w:bCs/>
                <w:sz w:val="20"/>
                <w:szCs w:val="20"/>
              </w:rPr>
            </w:pPr>
            <w:bookmarkStart w:id="3" w:name="_Toc137201711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Denominazione progetto finanziato: </w:t>
            </w:r>
            <w:bookmarkEnd w:id="2"/>
            <w:proofErr w:type="spellStart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Infrastructure</w:t>
            </w:r>
            <w:proofErr w:type="spellEnd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for </w:t>
            </w:r>
            <w:proofErr w:type="spellStart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ENergy</w:t>
            </w:r>
            <w:proofErr w:type="spellEnd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TRAnsition</w:t>
            </w:r>
            <w:proofErr w:type="spellEnd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aNd</w:t>
            </w:r>
            <w:proofErr w:type="spellEnd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Circular</w:t>
            </w:r>
            <w:proofErr w:type="spellEnd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Economy @</w:t>
            </w:r>
            <w:proofErr w:type="spellStart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EuroNanoLab</w:t>
            </w:r>
            <w:proofErr w:type="spellEnd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iENTRANCE@ENL</w:t>
            </w:r>
            <w:bookmarkEnd w:id="3"/>
            <w:proofErr w:type="spellEnd"/>
          </w:p>
          <w:p w14:paraId="73E5B736" w14:textId="3C3BD6B4" w:rsidR="003A4F15" w:rsidRPr="00EE4219" w:rsidRDefault="002F1092" w:rsidP="002F1092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GARA EUROPEA A PROCEDURA APERTA AI SENSI DEGLI ARTT. 60 E 95 D.LGS. 50/2016 PER L’AFFIDAMENTO DELLA FORNITURA DI “</w:t>
            </w:r>
            <w:r w:rsidRPr="002F1092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</w:rPr>
              <w:t>SISTEMA DI DEPOSIZIONE DI FILM SOTTILI TRAMITE EVAPORAZIONE A FASCIO DI ELETTRONI (e-</w:t>
            </w:r>
            <w:proofErr w:type="spellStart"/>
            <w:r w:rsidRPr="002F1092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</w:rPr>
              <w:t>Beam</w:t>
            </w:r>
            <w:proofErr w:type="spellEnd"/>
            <w:r w:rsidRPr="002F1092">
              <w:rPr>
                <w:rFonts w:ascii="Century Gothic" w:eastAsia="Calibri" w:hAnsi="Century Gothic" w:cs="Times New Roman"/>
                <w:bCs/>
                <w:i/>
                <w:sz w:val="20"/>
                <w:szCs w:val="20"/>
              </w:rPr>
              <w:t xml:space="preserve"> Evaporator)</w:t>
            </w:r>
            <w:r w:rsidRPr="002F1092">
              <w:rPr>
                <w:rFonts w:ascii="Century Gothic" w:eastAsia="Calibri" w:hAnsi="Century Gothic" w:cs="Times New Roman"/>
                <w:bCs/>
                <w:sz w:val="20"/>
                <w:szCs w:val="20"/>
              </w:rPr>
              <w:t>” CIG 9882852378 - CUI F005184600192023000036 - CUP B33C22000710006</w:t>
            </w:r>
            <w:bookmarkStart w:id="4" w:name="_GoBack"/>
            <w:bookmarkEnd w:id="4"/>
          </w:p>
        </w:tc>
      </w:tr>
    </w:tbl>
    <w:p w14:paraId="543F8ECD" w14:textId="343FC700" w:rsidR="00282C61" w:rsidRDefault="00282C61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DC20B5E" w14:textId="77777777" w:rsidR="003A4F15" w:rsidRPr="00143D0F" w:rsidRDefault="003A4F15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>. 31</w:t>
      </w:r>
      <w:r w:rsidRPr="00143D0F">
        <w:rPr>
          <w:rFonts w:ascii="Century Gothic" w:hAnsi="Century Gothic" w:cs="Times New Roman"/>
          <w:sz w:val="20"/>
          <w:szCs w:val="20"/>
        </w:rPr>
        <w:t xml:space="preserve">7, 318, </w:t>
      </w:r>
      <w:r w:rsidR="00303201" w:rsidRPr="00143D0F">
        <w:rPr>
          <w:rFonts w:ascii="Century Gothic" w:hAnsi="Century Gothic" w:cs="Times New Roman"/>
          <w:sz w:val="20"/>
          <w:szCs w:val="20"/>
        </w:rPr>
        <w:t>319, 319-bis, 319 ter</w:t>
      </w:r>
      <w:r w:rsidRPr="00143D0F">
        <w:rPr>
          <w:rFonts w:ascii="Century Gothic" w:hAnsi="Century Gothic" w:cs="Times New Roman"/>
          <w:sz w:val="20"/>
          <w:szCs w:val="20"/>
        </w:rPr>
        <w:t>, 319-quater</w:t>
      </w:r>
      <w:r w:rsidR="00303201" w:rsidRPr="00143D0F">
        <w:rPr>
          <w:rFonts w:ascii="Century Gothic" w:hAnsi="Century Gothic" w:cs="Times New Roman"/>
          <w:sz w:val="20"/>
          <w:szCs w:val="20"/>
        </w:rPr>
        <w:t>, 320, 322, 322-bis, 346-bis c</w:t>
      </w:r>
      <w:r w:rsidRPr="00143D0F">
        <w:rPr>
          <w:rFonts w:ascii="Century Gothic" w:hAnsi="Century Gothic" w:cs="Times New Roman"/>
          <w:sz w:val="20"/>
          <w:szCs w:val="20"/>
        </w:rPr>
        <w:t>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353 </w:t>
      </w:r>
      <w:r w:rsidRPr="00143D0F">
        <w:rPr>
          <w:rFonts w:ascii="Century Gothic" w:hAnsi="Century Gothic" w:cs="Times New Roman"/>
          <w:sz w:val="20"/>
          <w:szCs w:val="20"/>
        </w:rPr>
        <w:t>e 353-bis c.p.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da parte dei subcontraenti.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9326" w14:textId="77777777" w:rsidR="00995968" w:rsidRDefault="00995968" w:rsidP="00995968">
      <w:pPr>
        <w:spacing w:after="0" w:line="240" w:lineRule="auto"/>
      </w:pPr>
      <w:r>
        <w:separator/>
      </w:r>
    </w:p>
  </w:endnote>
  <w:endnote w:type="continuationSeparator" w:id="0">
    <w:p w14:paraId="75F7BC61" w14:textId="77777777" w:rsidR="00995968" w:rsidRDefault="00995968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94CB5" w14:textId="77777777" w:rsidR="00EE5691" w:rsidRDefault="00EE5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3BD92D0C" w14:textId="054C6590" w:rsidR="00EE5691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E0F591" w14:textId="77777777" w:rsidR="00EE5691" w:rsidRDefault="00EE5691" w:rsidP="00EE5691">
        <w:pPr>
          <w:pStyle w:val="Pidipagina"/>
        </w:pPr>
      </w:p>
      <w:p w14:paraId="75585FF8" w14:textId="7B2ED728" w:rsidR="00EE5691" w:rsidRDefault="00EE5691" w:rsidP="00EE5691">
        <w:pPr>
          <w:pStyle w:val="Pidipagina"/>
        </w:pPr>
        <w:r>
          <w:rPr>
            <w:noProof/>
          </w:rPr>
          <w:drawing>
            <wp:inline distT="0" distB="0" distL="0" distR="0" wp14:anchorId="04D7DF8D" wp14:editId="4A27FD57">
              <wp:extent cx="6456045" cy="591185"/>
              <wp:effectExtent l="0" t="0" r="1905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5604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6C879A0" w14:textId="69E445D8" w:rsidR="00995968" w:rsidRDefault="002F1092" w:rsidP="00EE5691">
        <w:pPr>
          <w:pStyle w:val="Pidipagina"/>
        </w:pPr>
      </w:p>
    </w:sdtContent>
  </w:sdt>
  <w:p w14:paraId="73BD2F6E" w14:textId="77777777" w:rsidR="00995968" w:rsidRDefault="00995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F759" w14:textId="77777777" w:rsidR="00EE5691" w:rsidRDefault="00EE5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66BE" w14:textId="77777777" w:rsidR="00995968" w:rsidRDefault="00995968" w:rsidP="00995968">
      <w:pPr>
        <w:spacing w:after="0" w:line="240" w:lineRule="auto"/>
      </w:pPr>
      <w:r>
        <w:separator/>
      </w:r>
    </w:p>
  </w:footnote>
  <w:footnote w:type="continuationSeparator" w:id="0">
    <w:p w14:paraId="21500E64" w14:textId="77777777" w:rsidR="00995968" w:rsidRDefault="00995968" w:rsidP="009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2B52" w14:textId="77777777" w:rsidR="00EE5691" w:rsidRDefault="00EE5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0488" w14:textId="77777777" w:rsidR="00EE5691" w:rsidRDefault="00EE5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D700" w14:textId="77777777" w:rsidR="00EE5691" w:rsidRDefault="00EE5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143D0F"/>
    <w:rsid w:val="001F74F3"/>
    <w:rsid w:val="00205BF6"/>
    <w:rsid w:val="00234334"/>
    <w:rsid w:val="00282C61"/>
    <w:rsid w:val="002D26CB"/>
    <w:rsid w:val="002F1092"/>
    <w:rsid w:val="00303201"/>
    <w:rsid w:val="003569EA"/>
    <w:rsid w:val="00360E48"/>
    <w:rsid w:val="003A4F15"/>
    <w:rsid w:val="003A5FA5"/>
    <w:rsid w:val="003F7585"/>
    <w:rsid w:val="00423A88"/>
    <w:rsid w:val="0042403D"/>
    <w:rsid w:val="00461401"/>
    <w:rsid w:val="0046206A"/>
    <w:rsid w:val="004C51CB"/>
    <w:rsid w:val="004E58C3"/>
    <w:rsid w:val="0054786D"/>
    <w:rsid w:val="005612D3"/>
    <w:rsid w:val="0069209B"/>
    <w:rsid w:val="00803597"/>
    <w:rsid w:val="008211EC"/>
    <w:rsid w:val="008252EE"/>
    <w:rsid w:val="00995968"/>
    <w:rsid w:val="00A13A3D"/>
    <w:rsid w:val="00A67392"/>
    <w:rsid w:val="00B628B9"/>
    <w:rsid w:val="00B76396"/>
    <w:rsid w:val="00C521CA"/>
    <w:rsid w:val="00C6267F"/>
    <w:rsid w:val="00C832DE"/>
    <w:rsid w:val="00C84CEA"/>
    <w:rsid w:val="00CC5262"/>
    <w:rsid w:val="00D27DEE"/>
    <w:rsid w:val="00D35499"/>
    <w:rsid w:val="00D97999"/>
    <w:rsid w:val="00DA2D2C"/>
    <w:rsid w:val="00DA68E0"/>
    <w:rsid w:val="00E72322"/>
    <w:rsid w:val="00E82EF8"/>
    <w:rsid w:val="00EB3E74"/>
    <w:rsid w:val="00EE4219"/>
    <w:rsid w:val="00EE5691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D03685-E466-4841-8863-CA9B0425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Maria  Stefanelli</cp:lastModifiedBy>
  <cp:revision>41</cp:revision>
  <cp:lastPrinted>2020-08-24T09:16:00Z</cp:lastPrinted>
  <dcterms:created xsi:type="dcterms:W3CDTF">2020-08-07T14:19:00Z</dcterms:created>
  <dcterms:modified xsi:type="dcterms:W3CDTF">2023-06-19T08:20:00Z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