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D65F09" w:rsidTr="0057688E">
        <w:tc>
          <w:tcPr>
            <w:tcW w:w="3227" w:type="dxa"/>
            <w:shd w:val="clear" w:color="auto" w:fill="auto"/>
            <w:vAlign w:val="center"/>
          </w:tcPr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207CB" w:rsidRPr="00D65F09" w:rsidRDefault="00CC5DD9" w:rsidP="0057688E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bookmarkStart w:id="0" w:name="_Hlk121757635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</w:t>
            </w:r>
            <w:bookmarkEnd w:id="1"/>
            <w:bookmarkEnd w:id="0"/>
            <w:r w:rsidR="00034A9C" w:rsidRPr="00034A9C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manutenzione straordinaria del rivestimento esterno degli edifici a scavalco e manica d'approdo lato strada della cittadella politecnica (TO_CIT11) del Politecnico di Torino, C.so Castelfidardo, 39 - </w:t>
            </w:r>
            <w:r w:rsidR="00034A9C" w:rsidRPr="00080121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CIG: </w:t>
            </w:r>
            <w:r w:rsidR="00080121" w:rsidRPr="00080121">
              <w:rPr>
                <w:rFonts w:ascii="Century Gothic" w:eastAsia="Times New Roman" w:hAnsi="Century Gothic" w:cs="Poppins"/>
                <w:sz w:val="20"/>
                <w:szCs w:val="20"/>
              </w:rPr>
              <w:t>9625721441 - CUP: E14H17001070005 - CUI: L00518460019202300014</w:t>
            </w:r>
            <w:bookmarkStart w:id="2" w:name="_GoBack"/>
            <w:bookmarkEnd w:id="2"/>
          </w:p>
        </w:tc>
      </w:tr>
    </w:tbl>
    <w:p w:rsidR="00987C53" w:rsidRPr="00D65F09" w:rsidRDefault="00987C5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07CB" w:rsidRPr="00D65F09" w:rsidRDefault="009207CB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65F09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65F09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  <w:r w:rsidR="00CC5DD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4.1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65F09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D65F09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D65F09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Il sottoscritto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nato il </w:t>
      </w:r>
      <w:r w:rsidRPr="00D65F09">
        <w:rPr>
          <w:rFonts w:ascii="Century Gothic" w:hAnsi="Century Gothic"/>
          <w:lang w:val="it-IT"/>
        </w:rPr>
        <w:tab/>
        <w:t xml:space="preserve"> a </w:t>
      </w:r>
      <w:r w:rsidRPr="00D65F09">
        <w:rPr>
          <w:rFonts w:ascii="Century Gothic" w:hAnsi="Century Gothic"/>
          <w:lang w:val="it-IT"/>
        </w:rPr>
        <w:tab/>
        <w:t xml:space="preserve"> (Pr)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Codice Fiscale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in qualità di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dell’impresa ausiliaria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legale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D65F09">
        <w:rPr>
          <w:rFonts w:ascii="Century Gothic" w:hAnsi="Century Gothic"/>
          <w:lang w:val="it-IT"/>
        </w:rPr>
        <w:t>cell</w:t>
      </w:r>
      <w:proofErr w:type="spellEnd"/>
      <w:r w:rsidRPr="00D65F09">
        <w:rPr>
          <w:rFonts w:ascii="Century Gothic" w:hAnsi="Century Gothic"/>
          <w:lang w:val="it-IT"/>
        </w:rPr>
        <w:t xml:space="preserve">. </w:t>
      </w:r>
      <w:r w:rsidRPr="00D65F09">
        <w:rPr>
          <w:rFonts w:ascii="Century Gothic" w:hAnsi="Century Gothic"/>
          <w:lang w:val="it-IT"/>
        </w:rPr>
        <w:tab/>
        <w:t xml:space="preserve"> e-mail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>sito web ____________________________________ PEC _______</w:t>
      </w:r>
      <w:r w:rsidR="00987C53" w:rsidRPr="00D65F09">
        <w:rPr>
          <w:rFonts w:ascii="Century Gothic" w:hAnsi="Century Gothic"/>
          <w:lang w:val="it-IT"/>
        </w:rPr>
        <w:t>____________________</w:t>
      </w:r>
      <w:r w:rsidR="00F05493" w:rsidRPr="00D65F09">
        <w:rPr>
          <w:rFonts w:ascii="Century Gothic" w:hAnsi="Century Gothic"/>
          <w:lang w:val="it-IT"/>
        </w:rPr>
        <w:t>_______</w:t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amministrativa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partita IVA n. </w:t>
      </w:r>
      <w:r w:rsidRPr="00D65F09">
        <w:rPr>
          <w:rFonts w:ascii="Century Gothic" w:hAnsi="Century Gothic"/>
          <w:lang w:val="it-IT"/>
        </w:rPr>
        <w:tab/>
      </w:r>
    </w:p>
    <w:p w:rsidR="00EB15DF" w:rsidRPr="00D65F09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Pr="00D65F09" w:rsidRDefault="00B2667C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B2667C" w:rsidRPr="00300652" w:rsidRDefault="00B2667C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0065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relazione 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.1.1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 </w:t>
      </w:r>
    </w:p>
    <w:p w:rsidR="00300652" w:rsidRPr="00D65F09" w:rsidRDefault="00300652" w:rsidP="00300652">
      <w:pPr>
        <w:spacing w:after="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B2667C" w:rsidRDefault="00B2667C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  <w:r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.</w:t>
      </w:r>
    </w:p>
    <w:p w:rsidR="008055AE" w:rsidRPr="008055AE" w:rsidRDefault="008055AE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tbl>
      <w:tblPr>
        <w:tblStyle w:val="Grigliatabella"/>
        <w:tblW w:w="0" w:type="auto"/>
        <w:tblInd w:w="847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417"/>
        <w:gridCol w:w="1276"/>
      </w:tblGrid>
      <w:tr w:rsidR="00B2667C" w:rsidRPr="00D65F09" w:rsidTr="00D95B4E">
        <w:tc>
          <w:tcPr>
            <w:tcW w:w="1418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D95B4E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Pr="00D65F09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C67D2" w:rsidRPr="00AE3E82" w:rsidRDefault="00EC67D2" w:rsidP="00AE3E82">
      <w:pPr>
        <w:ind w:left="720"/>
        <w:contextualSpacing/>
        <w:jc w:val="both"/>
        <w:rPr>
          <w:rFonts w:ascii="Century Gothic" w:eastAsia="Calibri" w:hAnsi="Century Gothic" w:cs="Times New Roman"/>
          <w:i/>
          <w:sz w:val="20"/>
          <w:szCs w:val="28"/>
          <w:lang w:bidi="it-IT"/>
        </w:rPr>
      </w:pPr>
      <w:r w:rsidRPr="00AE3E82">
        <w:rPr>
          <w:rFonts w:ascii="Century Gothic" w:eastAsia="Calibri" w:hAnsi="Century Gothic" w:cs="Times New Roman"/>
          <w:i/>
          <w:sz w:val="20"/>
          <w:szCs w:val="28"/>
          <w:lang w:bidi="it-IT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:rsidR="00AE3E82" w:rsidRPr="00AE3E82" w:rsidRDefault="00AE3E82" w:rsidP="00AE3E82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p w:rsidR="00A02C51" w:rsidRPr="00D65F09" w:rsidRDefault="00A02C51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.1.3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Pr="00D65F09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02C51" w:rsidRPr="00F65C6A" w:rsidRDefault="00A02C51" w:rsidP="00F65C6A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sussistono le cause di decadenza, di sospensione o di divieto previste dall'</w:t>
      </w:r>
      <w:hyperlink r:id="rId8" w:anchor="067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9" w:anchor="084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0" w:anchor="088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1" w:anchor="092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D65F09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non sussistono le cause di decadenza, di sospensione o di divieto previste dall'</w:t>
      </w:r>
      <w:hyperlink r:id="rId12" w:anchor="067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3" w:anchor="084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4" w:anchor="088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5" w:anchor="092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85549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6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 xml:space="preserve"> </w:t>
      </w:r>
      <w:r w:rsidRPr="00D65F09">
        <w:rPr>
          <w:rFonts w:ascii="Century Gothic" w:eastAsia="Calibri" w:hAnsi="Century Gothic" w:cs="Times New Roman"/>
          <w:sz w:val="20"/>
          <w:szCs w:val="20"/>
        </w:rPr>
        <w:t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:rsidR="00A02C51" w:rsidRPr="00D65F09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7B43D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7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D65F09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D65F09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:rsidR="00F96239" w:rsidRPr="00D65F09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D65F09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BA43C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 xml:space="preserve">).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50601A">
        <w:rPr>
          <w:rFonts w:ascii="Century Gothic" w:hAnsi="Century Gothic"/>
          <w:sz w:val="28"/>
          <w:szCs w:val="28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non 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>).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D65F09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.1.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10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="00D3303C">
        <w:rPr>
          <w:rFonts w:ascii="Century Gothic" w:hAnsi="Century Gothic"/>
          <w:b/>
          <w:color w:val="4472C4" w:themeColor="accent5"/>
          <w:sz w:val="20"/>
          <w:szCs w:val="20"/>
        </w:rPr>
        <w:t>,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2</w:t>
      </w:r>
      <w:r w:rsidRPr="00D65F0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Default="00AE3E18" w:rsidP="00AE3E18">
      <w:pPr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E042E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non 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f-ter)</w:t>
      </w:r>
    </w:p>
    <w:p w:rsidR="000D5BE7" w:rsidRPr="00D65F09" w:rsidRDefault="000D5BE7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0D5BE7" w:rsidRPr="00C14AFC" w:rsidRDefault="000D5BE7" w:rsidP="000D5BE7">
      <w:pPr>
        <w:widowControl w:val="0"/>
        <w:tabs>
          <w:tab w:val="num" w:pos="567"/>
          <w:tab w:val="left" w:pos="1134"/>
        </w:tabs>
        <w:spacing w:after="0" w:line="312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C14AFC">
        <w:rPr>
          <w:rFonts w:ascii="Century Gothic" w:hAnsi="Century Gothic"/>
          <w:b/>
          <w:sz w:val="20"/>
          <w:szCs w:val="20"/>
        </w:rPr>
        <w:t>DICHIARA INOLTRE</w:t>
      </w:r>
    </w:p>
    <w:p w:rsidR="000D5BE7" w:rsidRPr="00C14AFC" w:rsidRDefault="000D5BE7" w:rsidP="00BB13B7">
      <w:pPr>
        <w:spacing w:after="0" w:line="360" w:lineRule="auto"/>
        <w:ind w:left="2832" w:hanging="2484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E3E18" w:rsidRPr="00A6454C" w:rsidRDefault="00A6454C" w:rsidP="00BB13B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454C">
        <w:rPr>
          <w:rStyle w:val="normaltextrun"/>
          <w:rFonts w:ascii="Century Gothic" w:hAnsi="Century Gothic"/>
          <w:i/>
          <w:iCs/>
          <w:color w:val="000000"/>
          <w:sz w:val="20"/>
          <w:szCs w:val="20"/>
          <w:shd w:val="clear" w:color="auto" w:fill="FFFFFF"/>
        </w:rPr>
        <w:t xml:space="preserve">di aver preso visione dell’informativa relativa al trattamento dei dati personali operato dal Politecnico di Torino in qualità di Titolare del trattamento, resa ai sensi dell’art. 13 del </w:t>
      </w:r>
      <w:r w:rsidRPr="00A6454C">
        <w:rPr>
          <w:rStyle w:val="normaltextrun"/>
          <w:rFonts w:ascii="Century Gothic" w:hAnsi="Century Gothic"/>
          <w:i/>
          <w:iCs/>
          <w:color w:val="000000"/>
          <w:sz w:val="20"/>
          <w:szCs w:val="20"/>
          <w:shd w:val="clear" w:color="auto" w:fill="FFFFFF"/>
        </w:rPr>
        <w:lastRenderedPageBreak/>
        <w:t xml:space="preserve">Regolamento EU 2016/679 e disponibile al link: </w:t>
      </w:r>
      <w:hyperlink r:id="rId16" w:tgtFrame="_blank" w:history="1">
        <w:r w:rsidRPr="00A6454C">
          <w:rPr>
            <w:rStyle w:val="normaltextrun"/>
            <w:rFonts w:ascii="Century Gothic" w:hAnsi="Century Gothic"/>
            <w:i/>
            <w:iCs/>
            <w:color w:val="0000FF"/>
            <w:sz w:val="20"/>
            <w:szCs w:val="20"/>
            <w:u w:val="single"/>
            <w:shd w:val="clear" w:color="auto" w:fill="FFFFFF"/>
          </w:rPr>
          <w:t>https://www.polito.it/privacy/</w:t>
        </w:r>
      </w:hyperlink>
      <w:r w:rsidRPr="00A6454C">
        <w:rPr>
          <w:rStyle w:val="normaltextrun"/>
          <w:rFonts w:ascii="Century Gothic" w:hAnsi="Century Gothic"/>
          <w:i/>
          <w:iCs/>
          <w:color w:val="000000"/>
          <w:sz w:val="20"/>
          <w:szCs w:val="20"/>
          <w:shd w:val="clear" w:color="auto" w:fill="FFFFFF"/>
        </w:rPr>
        <w:t> </w:t>
      </w:r>
      <w:r w:rsidRPr="00A6454C">
        <w:rPr>
          <w:rStyle w:val="eop"/>
          <w:rFonts w:ascii="Century Gothic" w:hAnsi="Century Gothic"/>
          <w:color w:val="000000"/>
          <w:sz w:val="20"/>
          <w:szCs w:val="20"/>
          <w:shd w:val="clear" w:color="auto" w:fill="FFFFFF"/>
        </w:rPr>
        <w:t> </w:t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</w:p>
    <w:p w:rsidR="00AE3E18" w:rsidRPr="00D65F09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D65F09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65F0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557B5F" w:rsidRPr="00D65F09" w:rsidRDefault="00557B5F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B03C5" w:rsidRPr="00D65F09" w:rsidRDefault="00AE3E18" w:rsidP="00BA43C2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CC5DD9" w:rsidRPr="00BA43C2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8EAADB" w:themeColor="accent5" w:themeTint="99"/>
          <w:sz w:val="20"/>
          <w:szCs w:val="20"/>
        </w:rPr>
      </w:pPr>
      <w:r w:rsidRPr="00BA43C2">
        <w:rPr>
          <w:rFonts w:ascii="Century Gothic" w:hAnsi="Century Gothic"/>
          <w:b/>
          <w:color w:val="8EAADB" w:themeColor="accent5" w:themeTint="99"/>
          <w:sz w:val="20"/>
          <w:szCs w:val="20"/>
        </w:rPr>
        <w:t>Note utili alla compilazione: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>del concorrente o da un suo procuratore munito della relativa procura, secondo le modalità indicate al par. 1</w:t>
      </w:r>
      <w:r>
        <w:rPr>
          <w:rFonts w:ascii="Century Gothic" w:hAnsi="Century Gothic"/>
          <w:sz w:val="20"/>
          <w:szCs w:val="20"/>
        </w:rPr>
        <w:t>5</w:t>
      </w:r>
      <w:r w:rsidRPr="00791492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:rsidR="00CC5DD9" w:rsidRPr="00DF7B52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9B03C5" w:rsidRPr="00D65F09" w:rsidRDefault="009B03C5">
      <w:pPr>
        <w:rPr>
          <w:rFonts w:ascii="Century Gothic" w:hAnsi="Century Gothic"/>
          <w:sz w:val="20"/>
          <w:szCs w:val="20"/>
        </w:rPr>
      </w:pPr>
    </w:p>
    <w:sectPr w:rsidR="009B03C5" w:rsidRPr="00D65F09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510945"/>
      <w:docPartObj>
        <w:docPartGallery w:val="Page Numbers (Bottom of Page)"/>
        <w:docPartUnique/>
      </w:docPartObj>
    </w:sdtPr>
    <w:sdtEndPr/>
    <w:sdtContent>
      <w:p w:rsidR="002706F1" w:rsidRDefault="002706F1">
        <w:pPr>
          <w:pStyle w:val="Pidipagina"/>
          <w:jc w:val="center"/>
        </w:pPr>
      </w:p>
      <w:p w:rsidR="002706F1" w:rsidRDefault="002706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06F1" w:rsidRDefault="002706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4970DC"/>
    <w:multiLevelType w:val="hybridMultilevel"/>
    <w:tmpl w:val="46E4F4F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403B"/>
    <w:multiLevelType w:val="hybridMultilevel"/>
    <w:tmpl w:val="A87C2662"/>
    <w:lvl w:ilvl="0" w:tplc="C7D821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7C"/>
    <w:rsid w:val="00006897"/>
    <w:rsid w:val="00034A9C"/>
    <w:rsid w:val="00057B4C"/>
    <w:rsid w:val="00080121"/>
    <w:rsid w:val="0009688E"/>
    <w:rsid w:val="000B3A3D"/>
    <w:rsid w:val="000D5BE7"/>
    <w:rsid w:val="000E35F4"/>
    <w:rsid w:val="001113CC"/>
    <w:rsid w:val="001724D3"/>
    <w:rsid w:val="001A25F9"/>
    <w:rsid w:val="0025473C"/>
    <w:rsid w:val="002706F1"/>
    <w:rsid w:val="00300652"/>
    <w:rsid w:val="003C2DC2"/>
    <w:rsid w:val="003F5A3D"/>
    <w:rsid w:val="004847F1"/>
    <w:rsid w:val="0050478F"/>
    <w:rsid w:val="0050601A"/>
    <w:rsid w:val="00521EE0"/>
    <w:rsid w:val="00557B5F"/>
    <w:rsid w:val="005905D8"/>
    <w:rsid w:val="006507A8"/>
    <w:rsid w:val="006607C2"/>
    <w:rsid w:val="0068358F"/>
    <w:rsid w:val="00764E17"/>
    <w:rsid w:val="007816A6"/>
    <w:rsid w:val="007A068F"/>
    <w:rsid w:val="007B43D3"/>
    <w:rsid w:val="007E21E4"/>
    <w:rsid w:val="008055AE"/>
    <w:rsid w:val="00855492"/>
    <w:rsid w:val="00890D58"/>
    <w:rsid w:val="008A58F3"/>
    <w:rsid w:val="009207CB"/>
    <w:rsid w:val="00987C53"/>
    <w:rsid w:val="009B03C5"/>
    <w:rsid w:val="009D463B"/>
    <w:rsid w:val="009F1A90"/>
    <w:rsid w:val="00A02C51"/>
    <w:rsid w:val="00A24D6E"/>
    <w:rsid w:val="00A6454C"/>
    <w:rsid w:val="00A67973"/>
    <w:rsid w:val="00AE3E18"/>
    <w:rsid w:val="00AE3E82"/>
    <w:rsid w:val="00B025BE"/>
    <w:rsid w:val="00B02FBE"/>
    <w:rsid w:val="00B245FD"/>
    <w:rsid w:val="00B2667C"/>
    <w:rsid w:val="00B755C0"/>
    <w:rsid w:val="00B80F43"/>
    <w:rsid w:val="00BA43C2"/>
    <w:rsid w:val="00BB13B7"/>
    <w:rsid w:val="00BD19F4"/>
    <w:rsid w:val="00BE664E"/>
    <w:rsid w:val="00C02D90"/>
    <w:rsid w:val="00C83D8A"/>
    <w:rsid w:val="00CA5C4E"/>
    <w:rsid w:val="00CC5DD9"/>
    <w:rsid w:val="00D3303C"/>
    <w:rsid w:val="00D640C7"/>
    <w:rsid w:val="00D65F09"/>
    <w:rsid w:val="00D95B4E"/>
    <w:rsid w:val="00DB01F5"/>
    <w:rsid w:val="00DC2CC6"/>
    <w:rsid w:val="00E042EA"/>
    <w:rsid w:val="00E33BDE"/>
    <w:rsid w:val="00E6077A"/>
    <w:rsid w:val="00EB15DF"/>
    <w:rsid w:val="00EC67D2"/>
    <w:rsid w:val="00ED1950"/>
    <w:rsid w:val="00F05493"/>
    <w:rsid w:val="00F65C6A"/>
    <w:rsid w:val="00F96239"/>
    <w:rsid w:val="00FA2DF2"/>
    <w:rsid w:val="00FB09E4"/>
    <w:rsid w:val="00FB6A74"/>
    <w:rsid w:val="00FC67FA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03CF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  <w:style w:type="character" w:customStyle="1" w:styleId="normaltextrun">
    <w:name w:val="normaltextrun"/>
    <w:basedOn w:val="Carpredefinitoparagrafo"/>
    <w:rsid w:val="00A6454C"/>
  </w:style>
  <w:style w:type="character" w:customStyle="1" w:styleId="eop">
    <w:name w:val="eop"/>
    <w:basedOn w:val="Carpredefinitoparagrafo"/>
    <w:rsid w:val="00A6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olit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E003-3F78-462B-B5A2-B91E8EA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Stefania  Agriesti</cp:lastModifiedBy>
  <cp:revision>83</cp:revision>
  <dcterms:created xsi:type="dcterms:W3CDTF">2018-05-17T12:43:00Z</dcterms:created>
  <dcterms:modified xsi:type="dcterms:W3CDTF">2023-01-27T13:10:00Z</dcterms:modified>
</cp:coreProperties>
</file>