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5D2D" w14:textId="62424498" w:rsidR="000C242E" w:rsidRPr="006415B2" w:rsidRDefault="000C242E" w:rsidP="000C242E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proofErr w:type="spellStart"/>
      <w:r w:rsidRPr="006415B2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Fac</w:t>
      </w:r>
      <w:proofErr w:type="spellEnd"/>
      <w:r w:rsidRPr="006415B2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 simile di </w:t>
      </w:r>
    </w:p>
    <w:p w14:paraId="38545559" w14:textId="34360B20" w:rsidR="000C242E" w:rsidRPr="006415B2" w:rsidRDefault="00771A3A" w:rsidP="000C242E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Relazione Tecnica</w:t>
      </w:r>
    </w:p>
    <w:p w14:paraId="165B148C" w14:textId="77777777" w:rsidR="000C242E" w:rsidRPr="006415B2" w:rsidRDefault="000C242E" w:rsidP="000C242E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49"/>
      </w:tblGrid>
      <w:tr w:rsidR="000C242E" w:rsidRPr="006415B2" w14:paraId="1D768F8F" w14:textId="77777777" w:rsidTr="00825DCC">
        <w:tc>
          <w:tcPr>
            <w:tcW w:w="3227" w:type="dxa"/>
            <w:shd w:val="clear" w:color="auto" w:fill="auto"/>
            <w:vAlign w:val="center"/>
          </w:tcPr>
          <w:p w14:paraId="3F2FF0D6" w14:textId="77777777" w:rsidR="000C242E" w:rsidRPr="006415B2" w:rsidRDefault="000C242E" w:rsidP="00060C34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6415B2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2D372181" w14:textId="77777777" w:rsidR="000C242E" w:rsidRPr="006415B2" w:rsidRDefault="000C242E" w:rsidP="00060C34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6415B2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49" w:type="dxa"/>
            <w:shd w:val="clear" w:color="auto" w:fill="auto"/>
          </w:tcPr>
          <w:p w14:paraId="1BD09254" w14:textId="77777777" w:rsidR="00230598" w:rsidRPr="006415B2" w:rsidRDefault="00230598" w:rsidP="00230598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415B2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GARA EUROPEA A PROCEDURA APERTA AI SENSI DELL’ART. 60 D.LGS. 50/2016 PER LA FORNITURA DI UNA CAMERA DI PROVA PER SISTEMI DI CONTROLLO AMBIENTALE DEL COMFORT E DELLA QUALITÀ DELL’ARIA MODULO “OFFICE” </w:t>
            </w:r>
          </w:p>
          <w:p w14:paraId="772D3C7D" w14:textId="2E2A4FA9" w:rsidR="000C242E" w:rsidRPr="006415B2" w:rsidRDefault="00230598" w:rsidP="00230598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415B2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(CIG </w:t>
            </w:r>
            <w:r w:rsidR="00AE13E1" w:rsidRPr="00AE13E1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9389943A16</w:t>
            </w:r>
            <w:r w:rsidRPr="006415B2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 - CUP E17G17000170005 - CUI F00518460019201900062)</w:t>
            </w:r>
          </w:p>
        </w:tc>
      </w:tr>
    </w:tbl>
    <w:p w14:paraId="686E2D00" w14:textId="77777777" w:rsidR="000C242E" w:rsidRPr="006415B2" w:rsidRDefault="000C242E" w:rsidP="000C242E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65C140D9" w14:textId="77777777" w:rsidR="000C242E" w:rsidRPr="006415B2" w:rsidRDefault="000C242E" w:rsidP="000C242E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41E1BB98" w14:textId="77777777" w:rsidR="000C242E" w:rsidRPr="006415B2" w:rsidRDefault="000C242E" w:rsidP="000C242E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hAnsi="Century Gothic" w:cs="Times New Roman"/>
          <w:sz w:val="20"/>
          <w:szCs w:val="20"/>
        </w:rPr>
        <w:t>….....................,  ………........  (luogo e data)</w:t>
      </w:r>
    </w:p>
    <w:p w14:paraId="0BE68C3D" w14:textId="77777777" w:rsidR="000C242E" w:rsidRPr="006415B2" w:rsidRDefault="000C242E" w:rsidP="000C242E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 xml:space="preserve">      </w:t>
      </w:r>
    </w:p>
    <w:p w14:paraId="269EC7B8" w14:textId="77777777" w:rsidR="000C242E" w:rsidRPr="006415B2" w:rsidRDefault="000C242E" w:rsidP="000C242E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</w:t>
      </w:r>
    </w:p>
    <w:p w14:paraId="3460A33A" w14:textId="77777777" w:rsidR="000C242E" w:rsidRPr="006415B2" w:rsidRDefault="000C242E" w:rsidP="000C242E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Spett.le Politecnico di Torino</w:t>
      </w:r>
    </w:p>
    <w:p w14:paraId="7A62C98C" w14:textId="77777777" w:rsidR="000C242E" w:rsidRPr="006415B2" w:rsidRDefault="000C242E" w:rsidP="000C242E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Area AQUI</w:t>
      </w:r>
    </w:p>
    <w:p w14:paraId="3ADB0C20" w14:textId="77777777" w:rsidR="000C242E" w:rsidRPr="006415B2" w:rsidRDefault="000C242E" w:rsidP="000C242E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</w:t>
      </w:r>
      <w:r w:rsidRPr="006415B2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Ufficio Appalti</w:t>
      </w:r>
    </w:p>
    <w:p w14:paraId="006D02AB" w14:textId="77777777" w:rsidR="000C242E" w:rsidRPr="006415B2" w:rsidRDefault="000C242E" w:rsidP="000C242E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Corso Duca degli Abruzzi n° 24</w:t>
      </w:r>
    </w:p>
    <w:p w14:paraId="710C01D5" w14:textId="77777777" w:rsidR="000C242E" w:rsidRPr="006415B2" w:rsidRDefault="000C242E" w:rsidP="000C242E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     10129 – Torino</w:t>
      </w:r>
    </w:p>
    <w:p w14:paraId="74AF2C8E" w14:textId="77777777" w:rsidR="000C242E" w:rsidRPr="006415B2" w:rsidRDefault="000C242E" w:rsidP="000C242E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7F4D49C7" w14:textId="77777777" w:rsidR="000C242E" w:rsidRPr="006415B2" w:rsidRDefault="000C242E" w:rsidP="000C242E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Il sottoscritto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531463C8" w14:textId="77777777" w:rsidR="000C242E" w:rsidRPr="006415B2" w:rsidRDefault="000C242E" w:rsidP="000C242E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nato a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>____________________________________ (Pr) _______________________</w:t>
      </w:r>
    </w:p>
    <w:p w14:paraId="5044DFAC" w14:textId="77777777" w:rsidR="000C242E" w:rsidRPr="006415B2" w:rsidRDefault="000C242E" w:rsidP="000C242E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>il _______________________ in qualità di _________________________________ (indicare la carica sociale) della società _____________________________________________________________________________</w:t>
      </w:r>
    </w:p>
    <w:p w14:paraId="7D45B886" w14:textId="77777777" w:rsidR="000C242E" w:rsidRPr="006415B2" w:rsidRDefault="000C242E" w:rsidP="000C242E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>con sede legale in_________________________________________________________________________</w:t>
      </w:r>
    </w:p>
    <w:p w14:paraId="76C4F439" w14:textId="77777777" w:rsidR="000C242E" w:rsidRPr="006415B2" w:rsidRDefault="000C242E" w:rsidP="000C242E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con sede operativa in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7CDA1F2C" w14:textId="77777777" w:rsidR="000C242E" w:rsidRPr="006415B2" w:rsidRDefault="000C242E" w:rsidP="000C242E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n. telefono _________________ n. fax _______________ </w:t>
      </w:r>
      <w:proofErr w:type="spellStart"/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>cell</w:t>
      </w:r>
      <w:proofErr w:type="spellEnd"/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>. ___________ e-mail ____________________</w:t>
      </w:r>
    </w:p>
    <w:p w14:paraId="56EACD8C" w14:textId="77777777" w:rsidR="000C242E" w:rsidRPr="006415B2" w:rsidRDefault="000C242E" w:rsidP="000C242E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sito web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8DC69BA" w14:textId="77777777" w:rsidR="000C242E" w:rsidRPr="006415B2" w:rsidRDefault="000C242E" w:rsidP="000C242E">
      <w:pPr>
        <w:widowControl w:val="0"/>
        <w:tabs>
          <w:tab w:val="right" w:leader="underscore" w:pos="9624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Codice Fiscale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AD0AD56" w14:textId="77777777" w:rsidR="000C242E" w:rsidRPr="006415B2" w:rsidRDefault="000C242E" w:rsidP="000C242E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partita IVA n.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2966887" w14:textId="77777777" w:rsidR="000C242E" w:rsidRPr="006415B2" w:rsidRDefault="000C242E" w:rsidP="000C242E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28FCE517" w14:textId="158C4CE2" w:rsidR="002A0817" w:rsidRPr="00F5421A" w:rsidRDefault="002A0817" w:rsidP="002A0817">
      <w:pPr>
        <w:spacing w:after="0" w:line="360" w:lineRule="auto"/>
        <w:rPr>
          <w:rFonts w:ascii="Century Gothic" w:hAnsi="Century Gothic"/>
          <w:b/>
          <w:sz w:val="20"/>
          <w:szCs w:val="20"/>
        </w:rPr>
      </w:pPr>
      <w:r w:rsidRPr="00F5421A">
        <w:rPr>
          <w:rFonts w:ascii="Century Gothic" w:hAnsi="Century Gothic"/>
          <w:i/>
          <w:sz w:val="20"/>
          <w:szCs w:val="20"/>
        </w:rPr>
        <w:t>Al fine di concorrere all’affidamento indicato in oggetto</w:t>
      </w:r>
      <w:r w:rsidR="00F5421A">
        <w:rPr>
          <w:rFonts w:ascii="Century Gothic" w:hAnsi="Century Gothic"/>
          <w:i/>
          <w:sz w:val="20"/>
          <w:szCs w:val="20"/>
        </w:rPr>
        <w:t xml:space="preserve"> e in conformità all’art. 15 “Busta tecnica virtuale – contenuto” del Disciplinare,</w:t>
      </w:r>
      <w:r w:rsidRPr="00F5421A">
        <w:rPr>
          <w:rFonts w:ascii="Century Gothic" w:hAnsi="Century Gothic"/>
          <w:i/>
          <w:sz w:val="20"/>
          <w:szCs w:val="20"/>
        </w:rPr>
        <w:t xml:space="preserve"> formula la seguente offerta tecnica.</w:t>
      </w:r>
    </w:p>
    <w:p w14:paraId="36399551" w14:textId="77777777" w:rsidR="000C242E" w:rsidRPr="006415B2" w:rsidRDefault="000C242E" w:rsidP="00413A10">
      <w:pPr>
        <w:tabs>
          <w:tab w:val="center" w:pos="709"/>
          <w:tab w:val="right" w:pos="9072"/>
        </w:tabs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02B221A" w14:textId="77777777" w:rsidR="002D3F6F" w:rsidRDefault="00413A10" w:rsidP="00E32799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6D4C2A">
        <w:rPr>
          <w:rFonts w:ascii="Century Gothic" w:eastAsia="Calibri" w:hAnsi="Century Gothic"/>
          <w:b/>
          <w:sz w:val="20"/>
          <w:szCs w:val="20"/>
        </w:rPr>
        <w:t>EV1 - Efficacia della soluzione tecnica proposta per il modulo</w:t>
      </w:r>
    </w:p>
    <w:p w14:paraId="714026B3" w14:textId="26B6CCBD" w:rsidR="0045613F" w:rsidRDefault="00AB7141" w:rsidP="00E32799">
      <w:pPr>
        <w:spacing w:after="0" w:line="288" w:lineRule="auto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(</w:t>
      </w:r>
      <w:r w:rsidRPr="00AB7141">
        <w:rPr>
          <w:rFonts w:ascii="Century Gothic" w:eastAsia="Calibri" w:hAnsi="Century Gothic"/>
          <w:color w:val="0070C0"/>
          <w:sz w:val="20"/>
          <w:szCs w:val="20"/>
        </w:rPr>
        <w:t>Fornire la descrizione della soluzione tecnica costruttiva proposta per il modulo</w:t>
      </w:r>
      <w:r w:rsidR="00413A10" w:rsidRPr="006D4C2A">
        <w:rPr>
          <w:rFonts w:ascii="Century Gothic" w:eastAsia="Calibri" w:hAnsi="Century Gothic"/>
          <w:b/>
          <w:sz w:val="20"/>
          <w:szCs w:val="20"/>
        </w:rPr>
        <w:t xml:space="preserve"> </w:t>
      </w:r>
      <w:r>
        <w:rPr>
          <w:rFonts w:ascii="Century Gothic" w:eastAsia="Calibri" w:hAnsi="Century Gothic"/>
          <w:b/>
          <w:sz w:val="20"/>
          <w:szCs w:val="20"/>
        </w:rPr>
        <w:t xml:space="preserve">- </w:t>
      </w:r>
      <w:r w:rsidR="0045613F">
        <w:rPr>
          <w:rFonts w:ascii="Century Gothic" w:eastAsia="Calibri" w:hAnsi="Century Gothic"/>
          <w:sz w:val="20"/>
          <w:szCs w:val="20"/>
        </w:rPr>
        <w:t>Max</w:t>
      </w:r>
      <w:r w:rsidR="0045613F" w:rsidRPr="006415B2">
        <w:rPr>
          <w:rFonts w:ascii="Century Gothic" w:eastAsia="Calibri" w:hAnsi="Century Gothic"/>
          <w:sz w:val="20"/>
          <w:szCs w:val="20"/>
        </w:rPr>
        <w:t xml:space="preserve"> </w:t>
      </w:r>
      <w:r w:rsidR="0045613F">
        <w:rPr>
          <w:rFonts w:ascii="Century Gothic" w:eastAsia="Calibri" w:hAnsi="Century Gothic"/>
          <w:sz w:val="20"/>
          <w:szCs w:val="20"/>
        </w:rPr>
        <w:t>10</w:t>
      </w:r>
      <w:r w:rsidR="0045613F" w:rsidRPr="006415B2">
        <w:rPr>
          <w:rFonts w:ascii="Century Gothic" w:eastAsia="Calibri" w:hAnsi="Century Gothic"/>
          <w:sz w:val="20"/>
          <w:szCs w:val="20"/>
        </w:rPr>
        <w:t xml:space="preserve"> pagine</w:t>
      </w:r>
      <w:r w:rsidR="004F1D05">
        <w:rPr>
          <w:rFonts w:ascii="Century Gothic" w:eastAsia="Calibri" w:hAnsi="Century Gothic"/>
          <w:sz w:val="20"/>
          <w:szCs w:val="20"/>
        </w:rPr>
        <w:t xml:space="preserve"> descrittive</w:t>
      </w:r>
      <w:r w:rsidR="00F84485">
        <w:rPr>
          <w:rFonts w:ascii="Century Gothic" w:eastAsia="Calibri" w:hAnsi="Century Gothic"/>
          <w:sz w:val="20"/>
          <w:szCs w:val="20"/>
        </w:rPr>
        <w:t xml:space="preserve">, oltre a </w:t>
      </w:r>
      <w:r w:rsidR="00C308D3">
        <w:rPr>
          <w:rFonts w:ascii="Century Gothic" w:eastAsia="Calibri" w:hAnsi="Century Gothic"/>
          <w:sz w:val="20"/>
          <w:szCs w:val="20"/>
        </w:rPr>
        <w:t>massimo</w:t>
      </w:r>
      <w:r w:rsidR="0045613F">
        <w:rPr>
          <w:rFonts w:ascii="Century Gothic" w:eastAsia="Calibri" w:hAnsi="Century Gothic"/>
          <w:sz w:val="20"/>
          <w:szCs w:val="20"/>
        </w:rPr>
        <w:t xml:space="preserve"> </w:t>
      </w:r>
      <w:r w:rsidR="0045613F" w:rsidRPr="006415B2">
        <w:rPr>
          <w:rFonts w:ascii="Century Gothic" w:eastAsia="Calibri" w:hAnsi="Century Gothic"/>
          <w:sz w:val="20"/>
          <w:szCs w:val="20"/>
        </w:rPr>
        <w:t>3 tavole grafiche</w:t>
      </w:r>
      <w:r w:rsidR="00925F62">
        <w:rPr>
          <w:rFonts w:ascii="Century Gothic" w:eastAsia="Calibri" w:hAnsi="Century Gothic"/>
          <w:i/>
          <w:sz w:val="20"/>
          <w:szCs w:val="20"/>
        </w:rPr>
        <w:t>)</w:t>
      </w:r>
    </w:p>
    <w:p w14:paraId="74939AFB" w14:textId="42A93AC3" w:rsidR="00413A10" w:rsidRPr="006415B2" w:rsidRDefault="00413A10" w:rsidP="00E32799">
      <w:pPr>
        <w:spacing w:after="0" w:line="288" w:lineRule="auto"/>
        <w:jc w:val="both"/>
        <w:rPr>
          <w:rFonts w:ascii="Century Gothic" w:hAnsi="Century Gothic"/>
          <w:sz w:val="20"/>
          <w:szCs w:val="20"/>
        </w:rPr>
      </w:pPr>
      <w:r w:rsidRPr="006415B2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______________________________________</w:t>
      </w:r>
    </w:p>
    <w:p w14:paraId="5DAD80A0" w14:textId="77777777" w:rsidR="00413A10" w:rsidRPr="006415B2" w:rsidRDefault="00413A10" w:rsidP="00413A10">
      <w:pPr>
        <w:pStyle w:val="Paragrafoelenco"/>
        <w:ind w:left="0"/>
        <w:jc w:val="both"/>
        <w:rPr>
          <w:rFonts w:ascii="Century Gothic" w:hAnsi="Century Gothic"/>
          <w:sz w:val="20"/>
          <w:szCs w:val="20"/>
        </w:rPr>
      </w:pPr>
    </w:p>
    <w:p w14:paraId="213C7B1F" w14:textId="77777777" w:rsidR="00AB7141" w:rsidRDefault="00413A10" w:rsidP="00E32799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6D4C2A">
        <w:rPr>
          <w:rFonts w:ascii="Century Gothic" w:eastAsia="Calibri" w:hAnsi="Century Gothic"/>
          <w:b/>
          <w:sz w:val="20"/>
          <w:szCs w:val="20"/>
        </w:rPr>
        <w:t>EV2 - Soluzioni tecniche per il sistema radiante</w:t>
      </w:r>
      <w:r w:rsidR="0045613F">
        <w:rPr>
          <w:rFonts w:ascii="Century Gothic" w:eastAsia="Calibri" w:hAnsi="Century Gothic"/>
          <w:b/>
          <w:sz w:val="20"/>
          <w:szCs w:val="20"/>
        </w:rPr>
        <w:t xml:space="preserve"> </w:t>
      </w:r>
    </w:p>
    <w:p w14:paraId="642C5443" w14:textId="2004D31C" w:rsidR="00413A10" w:rsidRPr="00492593" w:rsidRDefault="00AB7141" w:rsidP="00AB7141">
      <w:pPr>
        <w:spacing w:line="288" w:lineRule="auto"/>
        <w:contextualSpacing/>
        <w:rPr>
          <w:rFonts w:ascii="Century Gothic" w:eastAsia="Calibri" w:hAnsi="Century Gothic"/>
          <w:b/>
          <w:i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(</w:t>
      </w:r>
      <w:r w:rsidRPr="00E60954">
        <w:rPr>
          <w:rFonts w:ascii="Century Gothic" w:eastAsia="Calibri" w:hAnsi="Century Gothic"/>
          <w:color w:val="0070C0"/>
          <w:sz w:val="20"/>
          <w:szCs w:val="20"/>
        </w:rPr>
        <w:t>Fornire la descrizione delle soluzioni tecniche che si intendono proporre per il sistema radiante</w:t>
      </w:r>
      <w:r w:rsidRPr="00154C05">
        <w:rPr>
          <w:rFonts w:ascii="Century Gothic" w:eastAsia="Calibri" w:hAnsi="Century Gothic"/>
          <w:sz w:val="20"/>
          <w:szCs w:val="20"/>
        </w:rPr>
        <w:t xml:space="preserve"> </w:t>
      </w:r>
      <w:r>
        <w:rPr>
          <w:rFonts w:ascii="Century Gothic" w:eastAsia="Calibri" w:hAnsi="Century Gothic"/>
          <w:sz w:val="20"/>
          <w:szCs w:val="20"/>
        </w:rPr>
        <w:t>- Max</w:t>
      </w:r>
      <w:r w:rsidRPr="00154C05">
        <w:rPr>
          <w:rFonts w:ascii="Century Gothic" w:eastAsia="Calibri" w:hAnsi="Century Gothic"/>
          <w:sz w:val="20"/>
          <w:szCs w:val="20"/>
        </w:rPr>
        <w:t xml:space="preserve"> numero di pagine 3, oltre a ma</w:t>
      </w:r>
      <w:r w:rsidR="00C308D3">
        <w:rPr>
          <w:rFonts w:ascii="Century Gothic" w:eastAsia="Calibri" w:hAnsi="Century Gothic"/>
          <w:sz w:val="20"/>
          <w:szCs w:val="20"/>
        </w:rPr>
        <w:t>ssimo</w:t>
      </w:r>
      <w:r w:rsidRPr="00154C05">
        <w:rPr>
          <w:rFonts w:ascii="Century Gothic" w:eastAsia="Calibri" w:hAnsi="Century Gothic"/>
          <w:sz w:val="20"/>
          <w:szCs w:val="20"/>
        </w:rPr>
        <w:t xml:space="preserve"> 1 tavola grafiche</w:t>
      </w:r>
      <w:r w:rsidR="00925F62">
        <w:rPr>
          <w:rFonts w:ascii="Century Gothic" w:eastAsia="Calibri" w:hAnsi="Century Gothic"/>
          <w:sz w:val="20"/>
          <w:szCs w:val="20"/>
        </w:rPr>
        <w:t>)</w:t>
      </w:r>
      <w:r w:rsidR="00F84485">
        <w:rPr>
          <w:rFonts w:ascii="Century Gothic" w:eastAsia="Calibri" w:hAnsi="Century Gothic"/>
          <w:sz w:val="20"/>
          <w:szCs w:val="20"/>
        </w:rPr>
        <w:t xml:space="preserve"> </w:t>
      </w:r>
    </w:p>
    <w:p w14:paraId="13A97BE3" w14:textId="77777777" w:rsidR="00413A10" w:rsidRDefault="00413A10" w:rsidP="00E32799">
      <w:pPr>
        <w:pStyle w:val="Paragrafoelenco"/>
        <w:ind w:left="3"/>
        <w:jc w:val="both"/>
        <w:rPr>
          <w:rFonts w:ascii="Century Gothic" w:hAnsi="Century Gothic"/>
          <w:sz w:val="20"/>
          <w:szCs w:val="20"/>
        </w:rPr>
      </w:pPr>
      <w:r w:rsidRPr="006415B2">
        <w:rPr>
          <w:rFonts w:ascii="Century Gothic" w:hAnsi="Century Gothic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_______________________________________</w:t>
      </w:r>
    </w:p>
    <w:p w14:paraId="68027C5E" w14:textId="77777777" w:rsidR="00413A10" w:rsidRPr="006415B2" w:rsidRDefault="00413A10" w:rsidP="00413A10">
      <w:pPr>
        <w:pStyle w:val="Paragrafoelenco"/>
        <w:ind w:left="3"/>
        <w:jc w:val="both"/>
        <w:rPr>
          <w:rFonts w:ascii="Century Gothic" w:hAnsi="Century Gothic"/>
          <w:sz w:val="20"/>
          <w:szCs w:val="20"/>
        </w:rPr>
      </w:pPr>
    </w:p>
    <w:p w14:paraId="426A183C" w14:textId="77777777" w:rsidR="00413A10" w:rsidRDefault="00413A10" w:rsidP="00413A10">
      <w:pPr>
        <w:spacing w:line="288" w:lineRule="auto"/>
        <w:ind w:left="3"/>
        <w:jc w:val="both"/>
        <w:rPr>
          <w:rFonts w:ascii="Century Gothic" w:eastAsia="Calibri" w:hAnsi="Century Gothic"/>
          <w:b/>
          <w:sz w:val="20"/>
          <w:szCs w:val="20"/>
        </w:rPr>
      </w:pPr>
    </w:p>
    <w:p w14:paraId="544B3465" w14:textId="77777777" w:rsidR="00AB7141" w:rsidRDefault="00413A10" w:rsidP="00E32799">
      <w:pPr>
        <w:spacing w:after="0" w:line="288" w:lineRule="auto"/>
        <w:ind w:left="3"/>
        <w:jc w:val="both"/>
        <w:rPr>
          <w:rFonts w:ascii="Century Gothic" w:eastAsia="Calibri" w:hAnsi="Century Gothic"/>
          <w:b/>
          <w:sz w:val="20"/>
          <w:szCs w:val="20"/>
        </w:rPr>
      </w:pPr>
      <w:r w:rsidRPr="006D4C2A">
        <w:rPr>
          <w:rFonts w:ascii="Century Gothic" w:eastAsia="Calibri" w:hAnsi="Century Gothic"/>
          <w:b/>
          <w:sz w:val="20"/>
          <w:szCs w:val="20"/>
        </w:rPr>
        <w:t xml:space="preserve">EV3 - Migliorie al sistema di trattamento aria </w:t>
      </w:r>
    </w:p>
    <w:p w14:paraId="46F5D919" w14:textId="6D356397" w:rsidR="00AA70E2" w:rsidRDefault="00AB7141" w:rsidP="00771C5E">
      <w:pPr>
        <w:spacing w:line="288" w:lineRule="auto"/>
        <w:contextualSpacing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(</w:t>
      </w:r>
      <w:r w:rsidRPr="00AB7141">
        <w:rPr>
          <w:rFonts w:ascii="Century Gothic" w:eastAsia="Calibri" w:hAnsi="Century Gothic"/>
          <w:color w:val="0070C0"/>
          <w:sz w:val="20"/>
          <w:szCs w:val="20"/>
        </w:rPr>
        <w:t>Descrivere le soluzioni tecniche che si intendono adottare al fine di migliorare la capacità di filtrazione e di riduzione del livello di polveri all’interno dell’ambiente</w:t>
      </w:r>
      <w:r>
        <w:rPr>
          <w:rFonts w:ascii="Century Gothic" w:eastAsia="Calibri" w:hAnsi="Century Gothic"/>
          <w:sz w:val="20"/>
          <w:szCs w:val="20"/>
        </w:rPr>
        <w:t xml:space="preserve"> </w:t>
      </w:r>
      <w:r w:rsidR="00771C5E">
        <w:rPr>
          <w:rFonts w:ascii="Century Gothic" w:eastAsia="Calibri" w:hAnsi="Century Gothic"/>
          <w:sz w:val="20"/>
          <w:szCs w:val="20"/>
        </w:rPr>
        <w:t>– Max 3</w:t>
      </w:r>
      <w:r w:rsidRPr="00154C05">
        <w:rPr>
          <w:rFonts w:ascii="Century Gothic" w:eastAsia="Calibri" w:hAnsi="Century Gothic"/>
          <w:sz w:val="20"/>
          <w:szCs w:val="20"/>
        </w:rPr>
        <w:t xml:space="preserve"> pagine, oltre a massimo 1 tavola grafiche</w:t>
      </w:r>
      <w:r w:rsidR="00925F62">
        <w:rPr>
          <w:rFonts w:ascii="Century Gothic" w:eastAsia="Calibri" w:hAnsi="Century Gothic"/>
          <w:sz w:val="20"/>
          <w:szCs w:val="20"/>
        </w:rPr>
        <w:t>)</w:t>
      </w:r>
      <w:r w:rsidR="0017008E">
        <w:rPr>
          <w:rFonts w:ascii="Century Gothic" w:eastAsia="Calibri" w:hAnsi="Century Gothic"/>
          <w:sz w:val="20"/>
          <w:szCs w:val="20"/>
        </w:rPr>
        <w:t xml:space="preserve"> </w:t>
      </w:r>
    </w:p>
    <w:p w14:paraId="128A204D" w14:textId="77777777" w:rsidR="00413A10" w:rsidRPr="006415B2" w:rsidRDefault="00413A10" w:rsidP="00E32799">
      <w:pPr>
        <w:pStyle w:val="Paragrafoelenco"/>
        <w:ind w:left="3"/>
        <w:jc w:val="both"/>
        <w:rPr>
          <w:rFonts w:ascii="Century Gothic" w:hAnsi="Century Gothic"/>
          <w:sz w:val="20"/>
          <w:szCs w:val="20"/>
        </w:rPr>
      </w:pPr>
      <w:r w:rsidRPr="006415B2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______________________________________</w:t>
      </w:r>
    </w:p>
    <w:p w14:paraId="5805EC22" w14:textId="77777777" w:rsidR="00413A10" w:rsidRPr="006415B2" w:rsidRDefault="00413A10" w:rsidP="00413A1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6B3BF5A" w14:textId="77777777" w:rsidR="00AB7141" w:rsidRDefault="00413A10" w:rsidP="00E84710">
      <w:pPr>
        <w:spacing w:after="0" w:line="288" w:lineRule="auto"/>
        <w:ind w:left="3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  <w:r w:rsidRPr="006415B2">
        <w:rPr>
          <w:rFonts w:ascii="Century Gothic" w:eastAsia="Calibri" w:hAnsi="Century Gothic"/>
          <w:b/>
          <w:sz w:val="20"/>
          <w:szCs w:val="20"/>
        </w:rPr>
        <w:t xml:space="preserve">EV4 - Soluzione tecnica per il sistema elettronico/informatico di regolazione, controllo, acquisizione dati, monitoraggio ed interazione con la piattaforma di simulazione “hardware-in-the-loop” </w:t>
      </w:r>
    </w:p>
    <w:p w14:paraId="34AFF8AE" w14:textId="7292FD79" w:rsidR="00E33B02" w:rsidRDefault="00AB7141" w:rsidP="00771C5E">
      <w:pPr>
        <w:spacing w:line="288" w:lineRule="auto"/>
        <w:contextualSpacing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(</w:t>
      </w:r>
      <w:r w:rsidRPr="00AB7141">
        <w:rPr>
          <w:rFonts w:ascii="Century Gothic" w:eastAsia="Calibri" w:hAnsi="Century Gothic"/>
          <w:color w:val="0070C0"/>
          <w:sz w:val="20"/>
          <w:szCs w:val="20"/>
        </w:rPr>
        <w:t xml:space="preserve">Descrivere la soluzione tecnica proposta in termini di hardware, di software, in particolare in relazione alle potenzialità di connessione, alla programmabilità ed alla </w:t>
      </w:r>
      <w:proofErr w:type="spellStart"/>
      <w:r w:rsidRPr="00AB7141">
        <w:rPr>
          <w:rFonts w:ascii="Century Gothic" w:eastAsia="Calibri" w:hAnsi="Century Gothic"/>
          <w:color w:val="0070C0"/>
          <w:sz w:val="20"/>
          <w:szCs w:val="20"/>
        </w:rPr>
        <w:t>interfacciabilità</w:t>
      </w:r>
      <w:proofErr w:type="spellEnd"/>
      <w:r w:rsidRPr="00AB7141">
        <w:rPr>
          <w:rFonts w:ascii="Century Gothic" w:eastAsia="Calibri" w:hAnsi="Century Gothic"/>
          <w:color w:val="0070C0"/>
          <w:sz w:val="20"/>
          <w:szCs w:val="20"/>
        </w:rPr>
        <w:t xml:space="preserve"> con i principali protocolli di comunicazione sul mercato</w:t>
      </w:r>
      <w:r>
        <w:rPr>
          <w:rFonts w:ascii="Century Gothic" w:eastAsia="Calibri" w:hAnsi="Century Gothic"/>
          <w:sz w:val="20"/>
          <w:szCs w:val="20"/>
        </w:rPr>
        <w:t xml:space="preserve"> – Max </w:t>
      </w:r>
      <w:r w:rsidR="00771C5E">
        <w:rPr>
          <w:rFonts w:ascii="Century Gothic" w:eastAsia="Calibri" w:hAnsi="Century Gothic"/>
          <w:sz w:val="20"/>
          <w:szCs w:val="20"/>
        </w:rPr>
        <w:t xml:space="preserve">4 </w:t>
      </w:r>
      <w:r w:rsidRPr="00154C05">
        <w:rPr>
          <w:rFonts w:ascii="Century Gothic" w:eastAsia="Calibri" w:hAnsi="Century Gothic"/>
          <w:sz w:val="20"/>
          <w:szCs w:val="20"/>
        </w:rPr>
        <w:t>pagine, oltre a massimo 2 tavole grafiche.</w:t>
      </w:r>
      <w:r>
        <w:rPr>
          <w:rFonts w:ascii="Century Gothic" w:eastAsia="Calibri" w:hAnsi="Century Gothic"/>
          <w:sz w:val="20"/>
          <w:szCs w:val="20"/>
        </w:rPr>
        <w:t xml:space="preserve"> </w:t>
      </w:r>
      <w:r w:rsidR="00E33B02" w:rsidRPr="00AA70E2">
        <w:rPr>
          <w:rFonts w:ascii="Century Gothic" w:eastAsia="Calibri" w:hAnsi="Century Gothic"/>
          <w:i/>
          <w:sz w:val="20"/>
          <w:szCs w:val="20"/>
        </w:rPr>
        <w:t>Specificare le Tavole in cui sono inserite le informazioni richieste nel caso in cui non siano contenute all’interno della relazione</w:t>
      </w:r>
      <w:r w:rsidR="00BD75CD" w:rsidRPr="006415B2">
        <w:rPr>
          <w:rFonts w:ascii="Century Gothic" w:eastAsia="Calibri" w:hAnsi="Century Gothic"/>
          <w:sz w:val="20"/>
          <w:szCs w:val="20"/>
        </w:rPr>
        <w:t>)</w:t>
      </w:r>
      <w:r w:rsidR="00E33B02">
        <w:rPr>
          <w:rFonts w:ascii="Century Gothic" w:eastAsia="Calibri" w:hAnsi="Century Gothic"/>
          <w:sz w:val="20"/>
          <w:szCs w:val="20"/>
        </w:rPr>
        <w:t>.</w:t>
      </w:r>
    </w:p>
    <w:p w14:paraId="2CA365BD" w14:textId="77777777" w:rsidR="00413A10" w:rsidRPr="006415B2" w:rsidRDefault="00413A10" w:rsidP="00E84710">
      <w:pPr>
        <w:pStyle w:val="Paragrafoelenco"/>
        <w:ind w:left="3"/>
        <w:jc w:val="both"/>
        <w:rPr>
          <w:rFonts w:ascii="Century Gothic" w:hAnsi="Century Gothic"/>
          <w:sz w:val="20"/>
          <w:szCs w:val="20"/>
        </w:rPr>
      </w:pPr>
      <w:r w:rsidRPr="006415B2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_______________________________________</w:t>
      </w:r>
    </w:p>
    <w:p w14:paraId="1382CEAB" w14:textId="77777777" w:rsidR="00413A10" w:rsidRPr="006415B2" w:rsidRDefault="00413A10" w:rsidP="00413A10">
      <w:pPr>
        <w:pStyle w:val="Paragrafoelenco"/>
        <w:ind w:left="3"/>
        <w:jc w:val="both"/>
        <w:rPr>
          <w:rFonts w:ascii="Century Gothic" w:hAnsi="Century Gothic"/>
          <w:sz w:val="20"/>
          <w:szCs w:val="20"/>
        </w:rPr>
      </w:pPr>
    </w:p>
    <w:p w14:paraId="53CD3F83" w14:textId="1E2B843F" w:rsidR="00B70315" w:rsidRDefault="00413A10" w:rsidP="00413A10">
      <w:pPr>
        <w:spacing w:line="288" w:lineRule="auto"/>
        <w:ind w:left="3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  <w:r w:rsidRPr="006415B2">
        <w:rPr>
          <w:rFonts w:ascii="Century Gothic" w:eastAsia="Calibri" w:hAnsi="Century Gothic"/>
          <w:b/>
          <w:sz w:val="20"/>
          <w:szCs w:val="20"/>
        </w:rPr>
        <w:t>EV5 - Sistema elettronico/informatico: assistenza post-avviamento</w:t>
      </w:r>
      <w:r w:rsidR="00E84710">
        <w:rPr>
          <w:rFonts w:ascii="Century Gothic" w:eastAsia="Calibri" w:hAnsi="Century Gothic"/>
          <w:b/>
          <w:sz w:val="20"/>
          <w:szCs w:val="20"/>
        </w:rPr>
        <w:t xml:space="preserve"> </w:t>
      </w:r>
      <w:r w:rsidR="00B70315">
        <w:rPr>
          <w:rFonts w:ascii="Century Gothic" w:eastAsia="Calibri" w:hAnsi="Century Gothic"/>
          <w:b/>
          <w:sz w:val="20"/>
          <w:szCs w:val="20"/>
        </w:rPr>
        <w:t>–</w:t>
      </w:r>
      <w:r w:rsidR="00E84710">
        <w:rPr>
          <w:rFonts w:ascii="Century Gothic" w:eastAsia="Calibri" w:hAnsi="Century Gothic"/>
          <w:b/>
          <w:sz w:val="20"/>
          <w:szCs w:val="20"/>
        </w:rPr>
        <w:t xml:space="preserve"> </w:t>
      </w:r>
    </w:p>
    <w:p w14:paraId="1C3F22C8" w14:textId="198751D6" w:rsidR="00413A10" w:rsidRPr="00B70315" w:rsidRDefault="00B70315" w:rsidP="00413A10">
      <w:pPr>
        <w:spacing w:line="288" w:lineRule="auto"/>
        <w:ind w:left="3"/>
        <w:contextualSpacing/>
        <w:jc w:val="both"/>
        <w:rPr>
          <w:rFonts w:ascii="Century Gothic" w:eastAsia="Calibri" w:hAnsi="Century Gothic"/>
          <w:i/>
          <w:color w:val="0070C0"/>
          <w:sz w:val="20"/>
          <w:szCs w:val="20"/>
        </w:rPr>
      </w:pPr>
      <w:r w:rsidRPr="00B70315">
        <w:rPr>
          <w:rFonts w:ascii="Century Gothic" w:eastAsia="Calibri" w:hAnsi="Century Gothic"/>
          <w:i/>
          <w:color w:val="0070C0"/>
          <w:sz w:val="20"/>
          <w:szCs w:val="20"/>
        </w:rPr>
        <w:t>(</w:t>
      </w:r>
      <w:r w:rsidR="00E84710" w:rsidRPr="00B70315">
        <w:rPr>
          <w:rFonts w:ascii="Century Gothic" w:eastAsia="Calibri" w:hAnsi="Century Gothic"/>
          <w:i/>
          <w:color w:val="0070C0"/>
          <w:sz w:val="20"/>
          <w:szCs w:val="20"/>
        </w:rPr>
        <w:t>Descri</w:t>
      </w:r>
      <w:r w:rsidRPr="00B70315">
        <w:rPr>
          <w:rFonts w:ascii="Century Gothic" w:eastAsia="Calibri" w:hAnsi="Century Gothic"/>
          <w:i/>
          <w:color w:val="0070C0"/>
          <w:sz w:val="20"/>
          <w:szCs w:val="20"/>
        </w:rPr>
        <w:t xml:space="preserve">vere </w:t>
      </w:r>
      <w:r w:rsidR="00E84710" w:rsidRPr="00B70315">
        <w:rPr>
          <w:rFonts w:ascii="Century Gothic" w:eastAsia="Calibri" w:hAnsi="Century Gothic"/>
          <w:i/>
          <w:color w:val="0070C0"/>
          <w:sz w:val="20"/>
          <w:szCs w:val="20"/>
        </w:rPr>
        <w:t>l’assistenza post-avviamento offerta, in termini anche di ore-uomo al mese messe a disposizione, del genere di intervento incluso.</w:t>
      </w:r>
    </w:p>
    <w:p w14:paraId="094A4BE2" w14:textId="77777777" w:rsidR="00B70315" w:rsidRPr="00E84710" w:rsidRDefault="00B70315" w:rsidP="00413A10">
      <w:pPr>
        <w:spacing w:line="288" w:lineRule="auto"/>
        <w:ind w:left="3"/>
        <w:contextualSpacing/>
        <w:jc w:val="both"/>
        <w:rPr>
          <w:rFonts w:ascii="Century Gothic" w:eastAsia="Calibri" w:hAnsi="Century Gothic"/>
          <w:i/>
          <w:sz w:val="20"/>
          <w:szCs w:val="20"/>
        </w:rPr>
      </w:pPr>
    </w:p>
    <w:p w14:paraId="3D261006" w14:textId="77777777" w:rsidR="00413A10" w:rsidRPr="006D4C2A" w:rsidRDefault="00413A10" w:rsidP="00413A10">
      <w:pPr>
        <w:ind w:left="3"/>
        <w:jc w:val="both"/>
        <w:rPr>
          <w:rFonts w:ascii="Century Gothic" w:hAnsi="Century Gothic"/>
          <w:sz w:val="20"/>
          <w:szCs w:val="20"/>
        </w:rPr>
      </w:pPr>
      <w:r w:rsidRPr="006D4C2A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</w:t>
      </w:r>
    </w:p>
    <w:p w14:paraId="4D27F08F" w14:textId="77777777" w:rsidR="0036086A" w:rsidRDefault="00413A10" w:rsidP="0036086A">
      <w:pPr>
        <w:spacing w:line="288" w:lineRule="auto"/>
        <w:contextualSpacing/>
        <w:rPr>
          <w:rFonts w:ascii="Century Gothic" w:eastAsia="Calibri" w:hAnsi="Century Gothic" w:cs="Times New Roman"/>
          <w:sz w:val="20"/>
          <w:szCs w:val="20"/>
        </w:rPr>
      </w:pPr>
      <w:r w:rsidRPr="006415B2">
        <w:rPr>
          <w:rFonts w:ascii="Century Gothic" w:eastAsia="Calibri" w:hAnsi="Century Gothic" w:cs="Times New Roman"/>
          <w:b/>
          <w:sz w:val="20"/>
          <w:szCs w:val="20"/>
        </w:rPr>
        <w:t>EV6 – Riduzione dei tempi di consegna</w:t>
      </w:r>
      <w:r w:rsidR="00484489">
        <w:rPr>
          <w:rFonts w:ascii="Century Gothic" w:eastAsia="Calibri" w:hAnsi="Century Gothic" w:cs="Times New Roman"/>
          <w:b/>
          <w:sz w:val="20"/>
          <w:szCs w:val="20"/>
        </w:rPr>
        <w:t xml:space="preserve"> </w:t>
      </w:r>
      <w:r w:rsidR="0036086A" w:rsidRPr="00154C05">
        <w:rPr>
          <w:rFonts w:ascii="Century Gothic" w:eastAsia="Calibri" w:hAnsi="Century Gothic" w:cs="Times New Roman"/>
          <w:sz w:val="20"/>
          <w:szCs w:val="20"/>
        </w:rPr>
        <w:t xml:space="preserve">rispetto al tempo massimo previsto di </w:t>
      </w:r>
      <w:r w:rsidR="0036086A" w:rsidRPr="00154C05">
        <w:rPr>
          <w:rFonts w:ascii="Century Gothic" w:eastAsia="Calibri" w:hAnsi="Century Gothic" w:cs="Times New Roman"/>
          <w:b/>
          <w:sz w:val="20"/>
          <w:szCs w:val="20"/>
        </w:rPr>
        <w:t>12 settimane</w:t>
      </w:r>
      <w:r w:rsidR="0036086A" w:rsidRPr="00154C05">
        <w:rPr>
          <w:rFonts w:ascii="Century Gothic" w:eastAsia="Calibri" w:hAnsi="Century Gothic" w:cs="Times New Roman"/>
          <w:sz w:val="20"/>
          <w:szCs w:val="20"/>
        </w:rPr>
        <w:t xml:space="preserve"> (</w:t>
      </w:r>
      <w:bookmarkStart w:id="0" w:name="_GoBack"/>
      <w:r w:rsidR="0036086A" w:rsidRPr="009F7C7C">
        <w:rPr>
          <w:rFonts w:ascii="Century Gothic" w:eastAsia="Calibri" w:hAnsi="Century Gothic" w:cs="Times New Roman"/>
          <w:sz w:val="20"/>
          <w:szCs w:val="20"/>
        </w:rPr>
        <w:t>Rif. par</w:t>
      </w:r>
      <w:bookmarkEnd w:id="0"/>
      <w:r w:rsidR="0036086A" w:rsidRPr="00154C05">
        <w:rPr>
          <w:rFonts w:ascii="Century Gothic" w:eastAsia="Calibri" w:hAnsi="Century Gothic" w:cs="Times New Roman"/>
          <w:sz w:val="20"/>
          <w:szCs w:val="20"/>
        </w:rPr>
        <w:t xml:space="preserve">. 6 del presente </w:t>
      </w:r>
      <w:proofErr w:type="spellStart"/>
      <w:r w:rsidR="0036086A" w:rsidRPr="00154C05">
        <w:rPr>
          <w:rFonts w:ascii="Century Gothic" w:eastAsia="Calibri" w:hAnsi="Century Gothic" w:cs="Times New Roman"/>
          <w:sz w:val="20"/>
          <w:szCs w:val="20"/>
        </w:rPr>
        <w:t>c.s.o</w:t>
      </w:r>
      <w:proofErr w:type="spellEnd"/>
      <w:r w:rsidR="0036086A" w:rsidRPr="00154C05">
        <w:rPr>
          <w:rFonts w:ascii="Century Gothic" w:eastAsia="Calibri" w:hAnsi="Century Gothic" w:cs="Times New Roman"/>
          <w:sz w:val="20"/>
          <w:szCs w:val="20"/>
        </w:rPr>
        <w:t>.)</w:t>
      </w:r>
    </w:p>
    <w:p w14:paraId="784186F3" w14:textId="4A44F094" w:rsidR="00413A10" w:rsidRPr="005B508A" w:rsidRDefault="00484489" w:rsidP="0036086A">
      <w:pPr>
        <w:spacing w:line="288" w:lineRule="auto"/>
        <w:contextualSpacing/>
        <w:rPr>
          <w:rFonts w:ascii="Century Gothic" w:eastAsia="Calibri" w:hAnsi="Century Gothic" w:cs="Times New Roman"/>
          <w:b/>
          <w:color w:val="0070C0"/>
          <w:sz w:val="20"/>
          <w:szCs w:val="20"/>
        </w:rPr>
      </w:pPr>
      <w:r w:rsidRPr="005B508A">
        <w:rPr>
          <w:rFonts w:ascii="Century Gothic" w:eastAsia="Calibri" w:hAnsi="Century Gothic" w:cs="Times New Roman"/>
          <w:b/>
          <w:i/>
          <w:color w:val="0070C0"/>
          <w:sz w:val="20"/>
          <w:szCs w:val="20"/>
        </w:rPr>
        <w:t xml:space="preserve">(Da </w:t>
      </w:r>
      <w:r w:rsidR="005B508A" w:rsidRPr="005B508A">
        <w:rPr>
          <w:rFonts w:ascii="Century Gothic" w:eastAsia="Calibri" w:hAnsi="Century Gothic" w:cs="Times New Roman"/>
          <w:b/>
          <w:i/>
          <w:color w:val="0070C0"/>
          <w:sz w:val="20"/>
          <w:szCs w:val="20"/>
        </w:rPr>
        <w:t xml:space="preserve">riportare anche </w:t>
      </w:r>
      <w:r w:rsidRPr="005B508A">
        <w:rPr>
          <w:rFonts w:ascii="Century Gothic" w:eastAsia="Calibri" w:hAnsi="Century Gothic" w:cs="Times New Roman"/>
          <w:b/>
          <w:i/>
          <w:color w:val="0070C0"/>
          <w:sz w:val="20"/>
          <w:szCs w:val="20"/>
        </w:rPr>
        <w:t>sulla Piattaforma U-</w:t>
      </w:r>
      <w:proofErr w:type="spellStart"/>
      <w:r w:rsidRPr="005B508A">
        <w:rPr>
          <w:rFonts w:ascii="Century Gothic" w:eastAsia="Calibri" w:hAnsi="Century Gothic" w:cs="Times New Roman"/>
          <w:b/>
          <w:i/>
          <w:color w:val="0070C0"/>
          <w:sz w:val="20"/>
          <w:szCs w:val="20"/>
        </w:rPr>
        <w:t>Buy</w:t>
      </w:r>
      <w:proofErr w:type="spellEnd"/>
      <w:r w:rsidRPr="005B508A">
        <w:rPr>
          <w:rFonts w:ascii="Century Gothic" w:eastAsia="Calibri" w:hAnsi="Century Gothic" w:cs="Times New Roman"/>
          <w:b/>
          <w:i/>
          <w:color w:val="0070C0"/>
          <w:sz w:val="20"/>
          <w:szCs w:val="20"/>
        </w:rPr>
        <w:t>)</w:t>
      </w:r>
    </w:p>
    <w:p w14:paraId="6534F06A" w14:textId="74CCBFE2" w:rsidR="00F42FA9" w:rsidRPr="00771C5E" w:rsidRDefault="00F826F3" w:rsidP="00771C5E">
      <w:pPr>
        <w:ind w:left="3"/>
        <w:jc w:val="both"/>
        <w:rPr>
          <w:rFonts w:ascii="Century Gothic" w:hAnsi="Century Gothic"/>
          <w:sz w:val="20"/>
          <w:szCs w:val="20"/>
        </w:rPr>
      </w:pPr>
      <w:r w:rsidRPr="006D4C2A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</w:t>
      </w:r>
    </w:p>
    <w:p w14:paraId="5A221439" w14:textId="0C13126E" w:rsidR="000C242E" w:rsidRPr="00FC6D9D" w:rsidRDefault="000C242E" w:rsidP="000C242E">
      <w:pPr>
        <w:pStyle w:val="Titolo6"/>
        <w:ind w:right="-79"/>
        <w:rPr>
          <w:rFonts w:ascii="Century Gothic" w:hAnsi="Century Gothic"/>
          <w:b w:val="0"/>
          <w:strike/>
          <w:sz w:val="20"/>
          <w:szCs w:val="20"/>
        </w:rPr>
      </w:pPr>
      <w:r w:rsidRPr="00FC6D9D">
        <w:rPr>
          <w:rFonts w:ascii="Century Gothic" w:hAnsi="Century Gothic"/>
          <w:b w:val="0"/>
          <w:sz w:val="20"/>
          <w:szCs w:val="20"/>
        </w:rPr>
        <w:t xml:space="preserve">Al fine di agevolare la lettura </w:t>
      </w:r>
      <w:r w:rsidR="004A557E" w:rsidRPr="00FC6D9D">
        <w:rPr>
          <w:rFonts w:ascii="Century Gothic" w:hAnsi="Century Gothic"/>
          <w:b w:val="0"/>
          <w:sz w:val="20"/>
          <w:szCs w:val="20"/>
        </w:rPr>
        <w:t xml:space="preserve">e la valutazione </w:t>
      </w:r>
      <w:r w:rsidRPr="00FC6D9D">
        <w:rPr>
          <w:rFonts w:ascii="Century Gothic" w:hAnsi="Century Gothic"/>
          <w:b w:val="0"/>
          <w:sz w:val="20"/>
          <w:szCs w:val="20"/>
        </w:rPr>
        <w:t>della relazione</w:t>
      </w:r>
      <w:r w:rsidR="00D649B4" w:rsidRPr="00FC6D9D">
        <w:rPr>
          <w:rFonts w:ascii="Century Gothic" w:hAnsi="Century Gothic"/>
          <w:b w:val="0"/>
          <w:sz w:val="20"/>
          <w:szCs w:val="20"/>
        </w:rPr>
        <w:t xml:space="preserve"> tecnica</w:t>
      </w:r>
      <w:r w:rsidRPr="00FC6D9D">
        <w:rPr>
          <w:rFonts w:ascii="Century Gothic" w:hAnsi="Century Gothic"/>
          <w:b w:val="0"/>
          <w:sz w:val="20"/>
          <w:szCs w:val="20"/>
        </w:rPr>
        <w:t xml:space="preserve">, si fornisce l’indice </w:t>
      </w:r>
      <w:r w:rsidR="004A557E" w:rsidRPr="00FC6D9D">
        <w:rPr>
          <w:rFonts w:ascii="Century Gothic" w:hAnsi="Century Gothic"/>
          <w:b w:val="0"/>
          <w:sz w:val="20"/>
          <w:szCs w:val="20"/>
        </w:rPr>
        <w:t xml:space="preserve">degli elementi costituenti Specifica Qualitativa/Migliorativa o Aggiuntiva, con l’indicazione degli elaborati e </w:t>
      </w:r>
      <w:r w:rsidRPr="00FC6D9D">
        <w:rPr>
          <w:rFonts w:ascii="Century Gothic" w:hAnsi="Century Gothic"/>
          <w:b w:val="0"/>
          <w:sz w:val="20"/>
          <w:szCs w:val="20"/>
        </w:rPr>
        <w:t>delle pagine</w:t>
      </w:r>
      <w:r w:rsidR="004A557E" w:rsidRPr="00FC6D9D">
        <w:rPr>
          <w:rFonts w:ascii="Century Gothic" w:hAnsi="Century Gothic"/>
          <w:b w:val="0"/>
          <w:sz w:val="20"/>
          <w:szCs w:val="20"/>
        </w:rPr>
        <w:t xml:space="preserve"> della relazione in cui ciascun elemento è dettagliato: </w:t>
      </w:r>
    </w:p>
    <w:p w14:paraId="686EB9B4" w14:textId="79EF84F6" w:rsidR="000C242E" w:rsidRPr="006415B2" w:rsidRDefault="000C242E" w:rsidP="00771C5E">
      <w:pPr>
        <w:tabs>
          <w:tab w:val="left" w:pos="3272"/>
        </w:tabs>
        <w:rPr>
          <w:rFonts w:ascii="Century Gothic" w:hAnsi="Century Gothic"/>
          <w:sz w:val="20"/>
          <w:szCs w:val="20"/>
          <w:lang w:eastAsia="it-IT"/>
        </w:rPr>
      </w:pPr>
    </w:p>
    <w:tbl>
      <w:tblPr>
        <w:tblStyle w:val="Grigliatabella1"/>
        <w:tblW w:w="9639" w:type="dxa"/>
        <w:jc w:val="center"/>
        <w:tblLook w:val="04A0" w:firstRow="1" w:lastRow="0" w:firstColumn="1" w:lastColumn="0" w:noHBand="0" w:noVBand="1"/>
      </w:tblPr>
      <w:tblGrid>
        <w:gridCol w:w="6473"/>
        <w:gridCol w:w="1788"/>
        <w:gridCol w:w="1378"/>
      </w:tblGrid>
      <w:tr w:rsidR="00E36835" w:rsidRPr="006415B2" w14:paraId="75029C0B" w14:textId="77777777" w:rsidTr="00E66D1B">
        <w:trPr>
          <w:trHeight w:val="839"/>
          <w:jc w:val="center"/>
        </w:trPr>
        <w:tc>
          <w:tcPr>
            <w:tcW w:w="6473" w:type="dxa"/>
            <w:shd w:val="clear" w:color="auto" w:fill="D9D9D9" w:themeFill="background1" w:themeFillShade="D9"/>
          </w:tcPr>
          <w:p w14:paraId="63F35E37" w14:textId="77777777" w:rsidR="00E36835" w:rsidRPr="006415B2" w:rsidRDefault="00E36835" w:rsidP="007B7E2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6415B2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EV – ELEMENTI per la Valutazione tecnica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14:paraId="06411F83" w14:textId="77777777" w:rsidR="00CD54E2" w:rsidRDefault="00E36835" w:rsidP="00CD54E2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rif.</w:t>
            </w:r>
            <w:proofErr w:type="spellEnd"/>
            <w:r w:rsidR="007978B6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 </w:t>
            </w:r>
            <w:r w:rsidR="00C07BC3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Tavole</w:t>
            </w:r>
            <w:r w:rsidR="00CD54E2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 </w:t>
            </w:r>
          </w:p>
          <w:p w14:paraId="68386A88" w14:textId="60E9E6D8" w:rsidR="00CD54E2" w:rsidRPr="006415B2" w:rsidRDefault="00CD54E2" w:rsidP="00CD54E2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(ove previste)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5E4415BB" w14:textId="1DEEAB90" w:rsidR="00E36835" w:rsidRPr="006415B2" w:rsidRDefault="00E36835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6415B2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PAG.</w:t>
            </w:r>
          </w:p>
        </w:tc>
      </w:tr>
      <w:tr w:rsidR="00E36835" w:rsidRPr="006415B2" w14:paraId="4DFA3DD4" w14:textId="77777777" w:rsidTr="00E66D1B">
        <w:trPr>
          <w:trHeight w:val="578"/>
          <w:jc w:val="center"/>
        </w:trPr>
        <w:tc>
          <w:tcPr>
            <w:tcW w:w="6473" w:type="dxa"/>
            <w:shd w:val="clear" w:color="auto" w:fill="FFFFFF" w:themeFill="background1"/>
          </w:tcPr>
          <w:p w14:paraId="4BB666B0" w14:textId="46BC56DC" w:rsidR="00E36835" w:rsidRPr="0045613F" w:rsidRDefault="00E36835" w:rsidP="0045613F">
            <w:pPr>
              <w:spacing w:line="288" w:lineRule="auto"/>
              <w:ind w:left="360"/>
              <w:contextualSpacing/>
              <w:jc w:val="both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415B2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EV1 - Efficacia della soluzione tecnica proposta per il modulo </w:t>
            </w:r>
          </w:p>
        </w:tc>
        <w:tc>
          <w:tcPr>
            <w:tcW w:w="1788" w:type="dxa"/>
            <w:shd w:val="clear" w:color="auto" w:fill="FFFFFF" w:themeFill="background1"/>
          </w:tcPr>
          <w:p w14:paraId="7A771201" w14:textId="77777777" w:rsidR="00E36835" w:rsidRPr="006415B2" w:rsidRDefault="00E36835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7E2E36D3" w14:textId="575BDE96" w:rsidR="00E36835" w:rsidRPr="006415B2" w:rsidRDefault="00E36835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E36835" w:rsidRPr="006415B2" w14:paraId="7C89ABA3" w14:textId="77777777" w:rsidTr="00E66D1B">
        <w:trPr>
          <w:trHeight w:val="447"/>
          <w:jc w:val="center"/>
        </w:trPr>
        <w:tc>
          <w:tcPr>
            <w:tcW w:w="6473" w:type="dxa"/>
            <w:shd w:val="clear" w:color="auto" w:fill="FFFFFF" w:themeFill="background1"/>
          </w:tcPr>
          <w:p w14:paraId="1422CD8D" w14:textId="77777777" w:rsidR="00E36835" w:rsidRPr="006415B2" w:rsidRDefault="00E36835" w:rsidP="00732349">
            <w:pPr>
              <w:spacing w:line="288" w:lineRule="auto"/>
              <w:ind w:left="360"/>
              <w:contextualSpacing/>
              <w:jc w:val="both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415B2">
              <w:rPr>
                <w:rFonts w:ascii="Century Gothic" w:eastAsia="Calibri" w:hAnsi="Century Gothic"/>
                <w:b/>
                <w:sz w:val="20"/>
                <w:szCs w:val="20"/>
              </w:rPr>
              <w:lastRenderedPageBreak/>
              <w:t>EV2 - Soluzioni tecniche per il sistema radiante</w:t>
            </w:r>
          </w:p>
          <w:p w14:paraId="72FC9683" w14:textId="669D1738" w:rsidR="00E36835" w:rsidRPr="00AB19A7" w:rsidRDefault="00E36835" w:rsidP="00AB19A7">
            <w:pPr>
              <w:spacing w:line="288" w:lineRule="auto"/>
              <w:ind w:left="360"/>
              <w:contextualSpacing/>
              <w:jc w:val="both"/>
              <w:rPr>
                <w:rFonts w:ascii="Century Gothic" w:eastAsia="Calibri" w:hAnsi="Century Gothic"/>
                <w:i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FFFFFF" w:themeFill="background1"/>
          </w:tcPr>
          <w:p w14:paraId="61659036" w14:textId="77777777" w:rsidR="00E36835" w:rsidRPr="006415B2" w:rsidRDefault="00E36835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77C28588" w14:textId="44FAB7AF" w:rsidR="00E36835" w:rsidRPr="006415B2" w:rsidRDefault="00E36835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E36835" w:rsidRPr="006415B2" w14:paraId="24C1937D" w14:textId="77777777" w:rsidTr="00E66D1B">
        <w:trPr>
          <w:trHeight w:val="446"/>
          <w:jc w:val="center"/>
        </w:trPr>
        <w:tc>
          <w:tcPr>
            <w:tcW w:w="6473" w:type="dxa"/>
            <w:shd w:val="clear" w:color="auto" w:fill="FFFFFF" w:themeFill="background1"/>
          </w:tcPr>
          <w:p w14:paraId="488A8885" w14:textId="77777777" w:rsidR="00E36835" w:rsidRPr="006415B2" w:rsidRDefault="00E36835" w:rsidP="00732349">
            <w:pPr>
              <w:spacing w:line="288" w:lineRule="auto"/>
              <w:ind w:left="360"/>
              <w:contextualSpacing/>
              <w:jc w:val="both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415B2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EV3 - Migliorie al sistema di trattamento aria </w:t>
            </w:r>
          </w:p>
          <w:p w14:paraId="0D709012" w14:textId="6935E243" w:rsidR="00E36835" w:rsidRPr="005A3D1B" w:rsidRDefault="00E36835" w:rsidP="005A3D1B">
            <w:pPr>
              <w:spacing w:line="288" w:lineRule="auto"/>
              <w:ind w:left="360"/>
              <w:contextualSpacing/>
              <w:jc w:val="both"/>
              <w:rPr>
                <w:rFonts w:ascii="Century Gothic" w:eastAsia="Calibri" w:hAnsi="Century Gothic"/>
                <w:i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FFFFFF" w:themeFill="background1"/>
          </w:tcPr>
          <w:p w14:paraId="72658D79" w14:textId="77777777" w:rsidR="00E36835" w:rsidRPr="006415B2" w:rsidRDefault="00E36835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5337F512" w14:textId="105A4714" w:rsidR="00E36835" w:rsidRPr="006415B2" w:rsidRDefault="00E36835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E36835" w:rsidRPr="006415B2" w14:paraId="184BF4C3" w14:textId="77777777" w:rsidTr="00E66D1B">
        <w:trPr>
          <w:trHeight w:val="1308"/>
          <w:jc w:val="center"/>
        </w:trPr>
        <w:tc>
          <w:tcPr>
            <w:tcW w:w="6473" w:type="dxa"/>
            <w:shd w:val="clear" w:color="auto" w:fill="FFFFFF" w:themeFill="background1"/>
          </w:tcPr>
          <w:p w14:paraId="18B71313" w14:textId="77777777" w:rsidR="00E36835" w:rsidRDefault="00E36835" w:rsidP="00811CB3">
            <w:pPr>
              <w:spacing w:line="288" w:lineRule="auto"/>
              <w:ind w:left="360"/>
              <w:contextualSpacing/>
              <w:jc w:val="both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415B2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EV4 - Soluzione tecnica per il sistema elettronico/informatico di regolazione, controllo, acquisizione dati, monitoraggio ed interazione con la piattaforma di simulazione “hardware-in-the-loop” </w:t>
            </w:r>
          </w:p>
          <w:p w14:paraId="5B4A83F7" w14:textId="7B896331" w:rsidR="00E36835" w:rsidRPr="00811CB3" w:rsidRDefault="00E36835" w:rsidP="00811CB3">
            <w:pPr>
              <w:spacing w:line="288" w:lineRule="auto"/>
              <w:ind w:left="360"/>
              <w:contextualSpacing/>
              <w:jc w:val="both"/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FFFFFF" w:themeFill="background1"/>
          </w:tcPr>
          <w:p w14:paraId="11DE6A19" w14:textId="77777777" w:rsidR="00E36835" w:rsidRPr="006415B2" w:rsidRDefault="00E36835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512BCC5D" w14:textId="3CF1588A" w:rsidR="00E36835" w:rsidRPr="006415B2" w:rsidRDefault="00E36835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E36835" w:rsidRPr="006415B2" w14:paraId="5CAB3FE3" w14:textId="77777777" w:rsidTr="00E66D1B">
        <w:trPr>
          <w:trHeight w:val="536"/>
          <w:jc w:val="center"/>
        </w:trPr>
        <w:tc>
          <w:tcPr>
            <w:tcW w:w="6473" w:type="dxa"/>
            <w:shd w:val="clear" w:color="auto" w:fill="FFFFFF" w:themeFill="background1"/>
          </w:tcPr>
          <w:p w14:paraId="3E9816DC" w14:textId="258B1D4A" w:rsidR="00E36835" w:rsidRPr="00291F0A" w:rsidRDefault="00E36835" w:rsidP="00291F0A">
            <w:pPr>
              <w:spacing w:line="288" w:lineRule="auto"/>
              <w:ind w:left="360"/>
              <w:contextualSpacing/>
              <w:jc w:val="both"/>
              <w:rPr>
                <w:rFonts w:ascii="Century Gothic" w:eastAsia="Calibri" w:hAnsi="Century Gothic"/>
                <w:sz w:val="20"/>
                <w:szCs w:val="20"/>
              </w:rPr>
            </w:pPr>
            <w:r w:rsidRPr="006415B2">
              <w:rPr>
                <w:rFonts w:ascii="Century Gothic" w:eastAsia="Calibri" w:hAnsi="Century Gothic"/>
                <w:b/>
                <w:sz w:val="20"/>
                <w:szCs w:val="20"/>
              </w:rPr>
              <w:t>EV5 - Sistema elettronico/informatico: assistenza post-avviamento</w:t>
            </w:r>
          </w:p>
        </w:tc>
        <w:tc>
          <w:tcPr>
            <w:tcW w:w="1788" w:type="dxa"/>
            <w:shd w:val="clear" w:color="auto" w:fill="FFFFFF" w:themeFill="background1"/>
          </w:tcPr>
          <w:p w14:paraId="3178144E" w14:textId="77777777" w:rsidR="00E36835" w:rsidRPr="006415B2" w:rsidRDefault="00E36835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2050F3F2" w14:textId="1C98EAE5" w:rsidR="00E36835" w:rsidRPr="006415B2" w:rsidRDefault="00E36835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E36835" w:rsidRPr="006415B2" w14:paraId="12D0631A" w14:textId="77777777" w:rsidTr="00E66D1B">
        <w:trPr>
          <w:jc w:val="center"/>
        </w:trPr>
        <w:tc>
          <w:tcPr>
            <w:tcW w:w="6473" w:type="dxa"/>
          </w:tcPr>
          <w:p w14:paraId="4CA5D79C" w14:textId="03533946" w:rsidR="00E36835" w:rsidRPr="00CE5F96" w:rsidRDefault="00E36835" w:rsidP="00CE5F96">
            <w:pPr>
              <w:spacing w:line="288" w:lineRule="auto"/>
              <w:ind w:left="361"/>
              <w:contextualSpacing/>
              <w:jc w:val="both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6415B2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EV6 – Riduzione dei tempi di consegna</w:t>
            </w:r>
            <w:r w:rsidRPr="006415B2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rispetto al tempo massimo previsto di </w:t>
            </w:r>
            <w:r w:rsidRPr="006415B2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12 settimane</w:t>
            </w:r>
            <w:r w:rsidRPr="006415B2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(</w:t>
            </w:r>
            <w:r w:rsidRPr="0043649E">
              <w:rPr>
                <w:rFonts w:ascii="Century Gothic" w:eastAsia="Calibri" w:hAnsi="Century Gothic" w:cs="Times New Roman"/>
                <w:sz w:val="20"/>
                <w:szCs w:val="20"/>
              </w:rPr>
              <w:t>Rif. par</w:t>
            </w:r>
            <w:r w:rsidRPr="006415B2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. 6 del </w:t>
            </w:r>
            <w:proofErr w:type="spellStart"/>
            <w:r w:rsidRPr="006415B2">
              <w:rPr>
                <w:rFonts w:ascii="Century Gothic" w:eastAsia="Calibri" w:hAnsi="Century Gothic" w:cs="Times New Roman"/>
                <w:sz w:val="20"/>
                <w:szCs w:val="20"/>
              </w:rPr>
              <w:t>c.s.o</w:t>
            </w:r>
            <w:proofErr w:type="spellEnd"/>
            <w:r w:rsidRPr="006415B2">
              <w:rPr>
                <w:rFonts w:ascii="Century Gothic" w:eastAsia="Calibri" w:hAnsi="Century Gothic" w:cs="Times New Roman"/>
                <w:sz w:val="20"/>
                <w:szCs w:val="20"/>
              </w:rPr>
              <w:t>.)</w:t>
            </w:r>
          </w:p>
        </w:tc>
        <w:tc>
          <w:tcPr>
            <w:tcW w:w="1788" w:type="dxa"/>
          </w:tcPr>
          <w:p w14:paraId="00A2503E" w14:textId="77777777" w:rsidR="00E36835" w:rsidRPr="006415B2" w:rsidRDefault="00E36835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14:paraId="5DAB61B6" w14:textId="66AFC841" w:rsidR="00E36835" w:rsidRPr="006415B2" w:rsidRDefault="00E36835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</w:tbl>
    <w:p w14:paraId="4125D89A" w14:textId="77777777" w:rsidR="00BC32C5" w:rsidRPr="006415B2" w:rsidRDefault="00BC32C5" w:rsidP="000C242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14BEC3F" w14:textId="77777777" w:rsidR="006D4C2A" w:rsidRPr="006415B2" w:rsidRDefault="006D4C2A" w:rsidP="000C242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2D5AB1A" w14:textId="77777777" w:rsidR="00160964" w:rsidRDefault="00160964" w:rsidP="00554BA3">
      <w:pPr>
        <w:spacing w:after="0" w:line="360" w:lineRule="auto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</w:p>
    <w:p w14:paraId="6DA64489" w14:textId="7B24EE44" w:rsidR="00554BA3" w:rsidRPr="006415B2" w:rsidRDefault="00554BA3" w:rsidP="00554BA3">
      <w:pPr>
        <w:spacing w:after="0" w:line="360" w:lineRule="auto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  <w:t>Il Legale Rappresentante/Titolare dell’Impresa</w:t>
      </w:r>
    </w:p>
    <w:p w14:paraId="1EA039BA" w14:textId="77777777" w:rsidR="00554BA3" w:rsidRPr="006415B2" w:rsidRDefault="00554BA3" w:rsidP="00554BA3">
      <w:pPr>
        <w:spacing w:after="0" w:line="36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</w:t>
      </w:r>
    </w:p>
    <w:p w14:paraId="03D35516" w14:textId="77777777" w:rsidR="00554BA3" w:rsidRPr="006415B2" w:rsidRDefault="00554BA3" w:rsidP="00554BA3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5D73EF87" w14:textId="77777777" w:rsidR="00554BA3" w:rsidRPr="006415B2" w:rsidRDefault="00554BA3" w:rsidP="00554BA3">
      <w:pPr>
        <w:pStyle w:val="Corpotesto"/>
        <w:spacing w:line="288" w:lineRule="auto"/>
        <w:ind w:left="0" w:right="-7"/>
        <w:contextualSpacing/>
        <w:jc w:val="both"/>
        <w:rPr>
          <w:rFonts w:ascii="Century Gothic" w:hAnsi="Century Gothic"/>
          <w:b/>
          <w:spacing w:val="-1"/>
          <w:sz w:val="20"/>
          <w:szCs w:val="20"/>
          <w:u w:val="single"/>
          <w:lang w:val="it-IT"/>
        </w:rPr>
      </w:pPr>
    </w:p>
    <w:p w14:paraId="6AA156B3" w14:textId="77777777" w:rsidR="00554BA3" w:rsidRPr="006415B2" w:rsidRDefault="00554BA3" w:rsidP="00554BA3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4A87F1D6" w14:textId="77777777" w:rsidR="00554BA3" w:rsidRPr="006415B2" w:rsidRDefault="00554BA3" w:rsidP="00554BA3">
      <w:pPr>
        <w:rPr>
          <w:rFonts w:ascii="Century Gothic" w:hAnsi="Century Gothic"/>
          <w:sz w:val="20"/>
          <w:szCs w:val="20"/>
        </w:rPr>
      </w:pPr>
      <w:r w:rsidRPr="006415B2">
        <w:rPr>
          <w:rFonts w:ascii="Century Gothic" w:hAnsi="Century Gothic"/>
          <w:b/>
          <w:sz w:val="20"/>
          <w:szCs w:val="20"/>
        </w:rPr>
        <w:t>Note utili alla compilazione</w:t>
      </w:r>
      <w:r w:rsidRPr="006415B2">
        <w:rPr>
          <w:rFonts w:ascii="Century Gothic" w:hAnsi="Century Gothic"/>
          <w:sz w:val="20"/>
          <w:szCs w:val="20"/>
        </w:rPr>
        <w:t>:</w:t>
      </w:r>
    </w:p>
    <w:p w14:paraId="5C556C4B" w14:textId="200B5955" w:rsidR="00554BA3" w:rsidRPr="006415B2" w:rsidRDefault="00554BA3" w:rsidP="00554BA3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La presente </w:t>
      </w:r>
      <w:r w:rsidR="006028FA"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relazione </w:t>
      </w:r>
      <w:r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tecnica deve essere </w:t>
      </w:r>
      <w:r w:rsidRPr="006415B2">
        <w:rPr>
          <w:rFonts w:ascii="Century Gothic" w:eastAsia="Times New Roman" w:hAnsi="Century Gothic" w:cs="Arial"/>
          <w:b/>
          <w:sz w:val="20"/>
          <w:szCs w:val="20"/>
          <w:lang w:eastAsia="it-IT"/>
        </w:rPr>
        <w:t>sottoscritta digitalmente</w:t>
      </w:r>
      <w:r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dal legale rappresentante dell’operatore economico concorrente</w:t>
      </w:r>
      <w:r w:rsidR="00FF4E4C"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o suo procuratore</w:t>
      </w:r>
      <w:r w:rsidR="007A2620"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(in tal caso allegare copia della procura)</w:t>
      </w:r>
      <w:r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; </w:t>
      </w:r>
    </w:p>
    <w:p w14:paraId="54285302" w14:textId="77777777" w:rsidR="00554BA3" w:rsidRPr="006415B2" w:rsidRDefault="00554BA3" w:rsidP="00554BA3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nel caso di RTI costituito, dal Legale rappresentante della società mandataria; </w:t>
      </w:r>
    </w:p>
    <w:p w14:paraId="2A0564CC" w14:textId="77777777" w:rsidR="00554BA3" w:rsidRPr="006415B2" w:rsidRDefault="00554BA3" w:rsidP="00554BA3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>nel caso di RTI costituendo, dai legali rappresentanti di ciascun operatore economico che partecipa alla procedura in forma congiunta.</w:t>
      </w:r>
    </w:p>
    <w:p w14:paraId="50E8B3E0" w14:textId="77777777" w:rsidR="00554BA3" w:rsidRPr="006415B2" w:rsidRDefault="00554BA3" w:rsidP="001615E5">
      <w:pPr>
        <w:rPr>
          <w:rFonts w:ascii="Century Gothic" w:hAnsi="Century Gothic"/>
          <w:sz w:val="20"/>
          <w:szCs w:val="20"/>
        </w:rPr>
      </w:pPr>
    </w:p>
    <w:sectPr w:rsidR="00554BA3" w:rsidRPr="006415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F571E"/>
    <w:multiLevelType w:val="hybridMultilevel"/>
    <w:tmpl w:val="AF9EAF2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1199"/>
    <w:multiLevelType w:val="hybridMultilevel"/>
    <w:tmpl w:val="5AAE2440"/>
    <w:lvl w:ilvl="0" w:tplc="2B5603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57A55"/>
    <w:multiLevelType w:val="hybridMultilevel"/>
    <w:tmpl w:val="FF7A8C5C"/>
    <w:lvl w:ilvl="0" w:tplc="4F3E6096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E75A8"/>
    <w:multiLevelType w:val="hybridMultilevel"/>
    <w:tmpl w:val="6A6C312C"/>
    <w:lvl w:ilvl="0" w:tplc="BFAEE85E">
      <w:start w:val="1"/>
      <w:numFmt w:val="upperLetter"/>
      <w:lvlText w:val="%1."/>
      <w:lvlJc w:val="left"/>
      <w:pPr>
        <w:ind w:left="360" w:hanging="360"/>
      </w:pPr>
      <w:rPr>
        <w:rFonts w:cstheme="minorBidi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EE019E"/>
    <w:multiLevelType w:val="hybridMultilevel"/>
    <w:tmpl w:val="44A854DC"/>
    <w:lvl w:ilvl="0" w:tplc="A066D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0D79"/>
    <w:multiLevelType w:val="hybridMultilevel"/>
    <w:tmpl w:val="6186DD26"/>
    <w:lvl w:ilvl="0" w:tplc="4D08A1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66D3D"/>
    <w:multiLevelType w:val="multilevel"/>
    <w:tmpl w:val="A5FE839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544BFE"/>
    <w:multiLevelType w:val="hybridMultilevel"/>
    <w:tmpl w:val="8E5CEED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B0DEF"/>
    <w:multiLevelType w:val="hybridMultilevel"/>
    <w:tmpl w:val="CFDEEF5A"/>
    <w:lvl w:ilvl="0" w:tplc="C546C4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E36F1"/>
    <w:multiLevelType w:val="hybridMultilevel"/>
    <w:tmpl w:val="A7503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3E2B"/>
    <w:multiLevelType w:val="hybridMultilevel"/>
    <w:tmpl w:val="6F9C1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51282"/>
    <w:multiLevelType w:val="hybridMultilevel"/>
    <w:tmpl w:val="1C62452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2E"/>
    <w:rsid w:val="0000651E"/>
    <w:rsid w:val="000423DC"/>
    <w:rsid w:val="000438FA"/>
    <w:rsid w:val="00047ED5"/>
    <w:rsid w:val="000956F1"/>
    <w:rsid w:val="000C242E"/>
    <w:rsid w:val="00105906"/>
    <w:rsid w:val="001315F3"/>
    <w:rsid w:val="00160964"/>
    <w:rsid w:val="001615E5"/>
    <w:rsid w:val="0017008E"/>
    <w:rsid w:val="0018196E"/>
    <w:rsid w:val="00185E78"/>
    <w:rsid w:val="001A32BC"/>
    <w:rsid w:val="001B19F4"/>
    <w:rsid w:val="001E083B"/>
    <w:rsid w:val="001F3C4F"/>
    <w:rsid w:val="00230598"/>
    <w:rsid w:val="002501E6"/>
    <w:rsid w:val="00291F0A"/>
    <w:rsid w:val="002A0817"/>
    <w:rsid w:val="002D3F6F"/>
    <w:rsid w:val="00342D34"/>
    <w:rsid w:val="0036086A"/>
    <w:rsid w:val="003701BC"/>
    <w:rsid w:val="00413A10"/>
    <w:rsid w:val="004314CC"/>
    <w:rsid w:val="0043649E"/>
    <w:rsid w:val="0045613F"/>
    <w:rsid w:val="00484489"/>
    <w:rsid w:val="00492593"/>
    <w:rsid w:val="004A0A4F"/>
    <w:rsid w:val="004A557E"/>
    <w:rsid w:val="004E22C8"/>
    <w:rsid w:val="004F1D05"/>
    <w:rsid w:val="00554BA3"/>
    <w:rsid w:val="005A2988"/>
    <w:rsid w:val="005A3D1B"/>
    <w:rsid w:val="005B508A"/>
    <w:rsid w:val="006028FA"/>
    <w:rsid w:val="00635A77"/>
    <w:rsid w:val="006415B2"/>
    <w:rsid w:val="006428EF"/>
    <w:rsid w:val="006B39AD"/>
    <w:rsid w:val="006C78FE"/>
    <w:rsid w:val="006D4C2A"/>
    <w:rsid w:val="00732349"/>
    <w:rsid w:val="00771A3A"/>
    <w:rsid w:val="00771C5E"/>
    <w:rsid w:val="007978B6"/>
    <w:rsid w:val="007A2620"/>
    <w:rsid w:val="007B7E2F"/>
    <w:rsid w:val="007E271C"/>
    <w:rsid w:val="007F1E4B"/>
    <w:rsid w:val="00811CB3"/>
    <w:rsid w:val="00825DCC"/>
    <w:rsid w:val="008915C4"/>
    <w:rsid w:val="008C3545"/>
    <w:rsid w:val="008D3033"/>
    <w:rsid w:val="008E6361"/>
    <w:rsid w:val="008E6C8E"/>
    <w:rsid w:val="00922617"/>
    <w:rsid w:val="00925F62"/>
    <w:rsid w:val="00936696"/>
    <w:rsid w:val="009A52C6"/>
    <w:rsid w:val="009F7C7C"/>
    <w:rsid w:val="00A1249B"/>
    <w:rsid w:val="00A1411A"/>
    <w:rsid w:val="00A40394"/>
    <w:rsid w:val="00A404AA"/>
    <w:rsid w:val="00A43965"/>
    <w:rsid w:val="00A63EF4"/>
    <w:rsid w:val="00AA70E2"/>
    <w:rsid w:val="00AB19A7"/>
    <w:rsid w:val="00AB7141"/>
    <w:rsid w:val="00AE13E1"/>
    <w:rsid w:val="00B36F4A"/>
    <w:rsid w:val="00B4777B"/>
    <w:rsid w:val="00B70315"/>
    <w:rsid w:val="00BC32C5"/>
    <w:rsid w:val="00BD75CD"/>
    <w:rsid w:val="00C07BC3"/>
    <w:rsid w:val="00C308D3"/>
    <w:rsid w:val="00C46279"/>
    <w:rsid w:val="00C50690"/>
    <w:rsid w:val="00C57EC9"/>
    <w:rsid w:val="00C66D5D"/>
    <w:rsid w:val="00C7486E"/>
    <w:rsid w:val="00CD54E2"/>
    <w:rsid w:val="00CE5F96"/>
    <w:rsid w:val="00D23940"/>
    <w:rsid w:val="00D36B89"/>
    <w:rsid w:val="00D649B4"/>
    <w:rsid w:val="00D724F0"/>
    <w:rsid w:val="00DB1AC0"/>
    <w:rsid w:val="00DE151A"/>
    <w:rsid w:val="00DF0E2A"/>
    <w:rsid w:val="00E20DFD"/>
    <w:rsid w:val="00E32799"/>
    <w:rsid w:val="00E33B02"/>
    <w:rsid w:val="00E36835"/>
    <w:rsid w:val="00E60954"/>
    <w:rsid w:val="00E66D1B"/>
    <w:rsid w:val="00E7418F"/>
    <w:rsid w:val="00E84710"/>
    <w:rsid w:val="00ED3E63"/>
    <w:rsid w:val="00F42FA9"/>
    <w:rsid w:val="00F5421A"/>
    <w:rsid w:val="00F610DC"/>
    <w:rsid w:val="00F826F3"/>
    <w:rsid w:val="00F84485"/>
    <w:rsid w:val="00F9609B"/>
    <w:rsid w:val="00FC6D9D"/>
    <w:rsid w:val="00FE4DCA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20DC"/>
  <w15:chartTrackingRefBased/>
  <w15:docId w15:val="{605F997C-ABD3-4B60-BE8A-89E80C02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242E"/>
    <w:pPr>
      <w:spacing w:after="200" w:line="276" w:lineRule="auto"/>
    </w:pPr>
  </w:style>
  <w:style w:type="paragraph" w:styleId="Titolo6">
    <w:name w:val="heading 6"/>
    <w:basedOn w:val="Normale"/>
    <w:next w:val="Normale"/>
    <w:link w:val="Titolo6Carattere"/>
    <w:qFormat/>
    <w:rsid w:val="000C242E"/>
    <w:pPr>
      <w:keepNext/>
      <w:tabs>
        <w:tab w:val="left" w:pos="5387"/>
        <w:tab w:val="left" w:pos="6521"/>
      </w:tabs>
      <w:spacing w:after="0" w:line="240" w:lineRule="auto"/>
      <w:ind w:right="-285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C242E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0C242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C242E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C24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0C242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nhideWhenUsed/>
    <w:rsid w:val="000C24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C24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C242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42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54BA3"/>
    <w:pPr>
      <w:widowControl w:val="0"/>
      <w:spacing w:after="0" w:line="240" w:lineRule="auto"/>
      <w:ind w:left="115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54BA3"/>
    <w:rPr>
      <w:rFonts w:ascii="Arial" w:eastAsia="Arial" w:hAnsi="Arial" w:cs="Times New Roman"/>
      <w:sz w:val="24"/>
      <w:szCs w:val="24"/>
      <w:lang w:val="en-US"/>
    </w:rPr>
  </w:style>
  <w:style w:type="table" w:customStyle="1" w:styleId="Grigliatabella1">
    <w:name w:val="Griglia tabella1"/>
    <w:basedOn w:val="Tabellanormale"/>
    <w:next w:val="Grigliatabella"/>
    <w:uiPriority w:val="39"/>
    <w:rsid w:val="00BC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C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39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39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GLORIOSO  ANNA MARIA</dc:creator>
  <cp:keywords/>
  <dc:description/>
  <cp:lastModifiedBy>Glorioso  Anna Maria</cp:lastModifiedBy>
  <cp:revision>5</cp:revision>
  <dcterms:created xsi:type="dcterms:W3CDTF">2022-09-29T08:30:00Z</dcterms:created>
  <dcterms:modified xsi:type="dcterms:W3CDTF">2022-10-04T10:17:00Z</dcterms:modified>
</cp:coreProperties>
</file>