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8E55BA" w:rsidTr="008E55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BA" w:rsidRDefault="008E55BA">
            <w:pPr>
              <w:suppressAutoHyphens/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:rsidR="008E55BA" w:rsidRDefault="008E55BA">
            <w:pPr>
              <w:suppressAutoHyphens/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A" w:rsidRDefault="008E55BA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Gara Europea a procedura aperta ai sensi dell’art. 60, D.lgs. 50/2016 e ss.mm.ii. per l’affidamento della fornitura di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it-IT"/>
              </w:rPr>
              <w:t>un “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sistema analitico - comprensivo di un cromatografo liquido (UHPLC), uno spettrometro di massa ad alta risoluzione con analizzatore QTOF (HRMS), software di gestione strumentale, acquisizione e processamento spettri, e quantificazione</w:t>
            </w:r>
            <w:r>
              <w:rPr>
                <w:rFonts w:ascii="Century Gothic" w:hAnsi="Century Gothic"/>
                <w:sz w:val="20"/>
                <w:szCs w:val="20"/>
              </w:rPr>
              <w:t>”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- CIG: 9221440D02 CUI: F00518460019202200002 CUP: E17G17000100005</w:t>
            </w:r>
          </w:p>
        </w:tc>
      </w:tr>
    </w:tbl>
    <w:p w:rsidR="008E55BA" w:rsidRPr="007856A3" w:rsidRDefault="008E55BA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bookmarkStart w:id="0" w:name="_GoBack"/>
      <w:bookmarkEnd w:id="0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7856A3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7856A3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7856A3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7856A3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7856A3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Il sottoscritto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nato il </w:t>
      </w:r>
      <w:r w:rsidRPr="007856A3">
        <w:rPr>
          <w:rFonts w:ascii="Century Gothic" w:hAnsi="Century Gothic"/>
          <w:lang w:val="it-IT"/>
        </w:rPr>
        <w:tab/>
        <w:t xml:space="preserve"> a </w:t>
      </w:r>
      <w:r w:rsidRPr="007856A3">
        <w:rPr>
          <w:rFonts w:ascii="Century Gothic" w:hAnsi="Century Gothic"/>
          <w:lang w:val="it-IT"/>
        </w:rPr>
        <w:tab/>
        <w:t xml:space="preserve"> (Pr)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Codice Fiscale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in qualità di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dell’impresa ausiliaria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legale in </w:t>
      </w:r>
      <w:r w:rsidR="006D6ACB" w:rsidRPr="007856A3">
        <w:rPr>
          <w:rFonts w:ascii="Century Gothic" w:hAnsi="Century Gothic"/>
          <w:lang w:val="it-IT"/>
        </w:rPr>
        <w:t>C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7856A3">
        <w:rPr>
          <w:rFonts w:ascii="Century Gothic" w:hAnsi="Century Gothic"/>
          <w:lang w:val="it-IT"/>
        </w:rPr>
        <w:t>cell</w:t>
      </w:r>
      <w:proofErr w:type="spellEnd"/>
      <w:r w:rsidRPr="007856A3">
        <w:rPr>
          <w:rFonts w:ascii="Century Gothic" w:hAnsi="Century Gothic"/>
          <w:lang w:val="it-IT"/>
        </w:rPr>
        <w:t xml:space="preserve">. </w:t>
      </w:r>
      <w:r w:rsidRPr="007856A3">
        <w:rPr>
          <w:rFonts w:ascii="Century Gothic" w:hAnsi="Century Gothic"/>
          <w:lang w:val="it-IT"/>
        </w:rPr>
        <w:tab/>
        <w:t xml:space="preserve"> e-mail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>sito web ____________________________________ PEC _______</w:t>
      </w:r>
      <w:r w:rsidR="00987C53" w:rsidRPr="007856A3">
        <w:rPr>
          <w:rFonts w:ascii="Century Gothic" w:hAnsi="Century Gothic"/>
          <w:lang w:val="it-IT"/>
        </w:rPr>
        <w:t>____________________</w:t>
      </w:r>
      <w:r w:rsidR="00F05493" w:rsidRPr="007856A3">
        <w:rPr>
          <w:rFonts w:ascii="Century Gothic" w:hAnsi="Century Gothic"/>
          <w:lang w:val="it-IT"/>
        </w:rPr>
        <w:t>_______</w:t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amministrativa in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partita IVA n. </w:t>
      </w:r>
      <w:r w:rsidRPr="007856A3">
        <w:rPr>
          <w:rFonts w:ascii="Century Gothic" w:hAnsi="Century Gothic"/>
          <w:lang w:val="it-IT"/>
        </w:rPr>
        <w:tab/>
      </w:r>
    </w:p>
    <w:p w:rsidR="00EB15DF" w:rsidRPr="007856A3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1F14D8" w:rsidRPr="007856A3" w:rsidRDefault="00B2667C" w:rsidP="001F14D8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B2667C" w:rsidRPr="001C1213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1C1213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="00A9370F" w:rsidRPr="001C1213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384F58" w:rsidRPr="001C1213">
        <w:rPr>
          <w:rFonts w:ascii="Century Gothic" w:hAnsi="Century Gothic"/>
          <w:b/>
          <w:color w:val="0070C0"/>
          <w:sz w:val="20"/>
          <w:szCs w:val="20"/>
        </w:rPr>
        <w:t>13.</w:t>
      </w:r>
      <w:r w:rsidRPr="001C1213">
        <w:rPr>
          <w:rFonts w:ascii="Century Gothic" w:hAnsi="Century Gothic"/>
          <w:b/>
          <w:color w:val="0070C0"/>
          <w:sz w:val="20"/>
          <w:szCs w:val="20"/>
        </w:rPr>
        <w:t xml:space="preserve">1.1 del disciplinare di gara: </w:t>
      </w:r>
    </w:p>
    <w:p w:rsidR="00B2667C" w:rsidRPr="007856A3" w:rsidRDefault="00B2667C" w:rsidP="003C2D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7856A3">
        <w:rPr>
          <w:rFonts w:ascii="Century Gothic" w:hAnsi="Century Gothic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RPr="007856A3" w:rsidTr="008817C7"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A02C51" w:rsidRPr="001C1213" w:rsidRDefault="004E6F49" w:rsidP="004E6F49">
      <w:pPr>
        <w:snapToGrid w:val="0"/>
        <w:spacing w:line="360" w:lineRule="auto"/>
        <w:ind w:left="709"/>
        <w:rPr>
          <w:rFonts w:ascii="Century Gothic" w:hAnsi="Century Gothic" w:cstheme="minorHAnsi"/>
          <w:bCs/>
          <w:i/>
          <w:sz w:val="20"/>
          <w:szCs w:val="20"/>
        </w:rPr>
      </w:pPr>
      <w:r w:rsidRPr="001C1213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1.3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="00A02C51" w:rsidRPr="007856A3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 xml:space="preserve">articolo 67 del decreto legislativo 6 settembre 2011, n. </w:t>
        </w:r>
        <w:r w:rsidR="00381027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0" w:anchor="092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 xml:space="preserve">92, commi 2 e 3, del decreto legislativo 6 settembre 2011, n. </w:t>
        </w:r>
        <w:r w:rsidR="00381027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 xml:space="preserve">articolo 67 del decreto legislativo 6 settembre 2011, n. </w:t>
        </w:r>
        <w:r w:rsidR="00381027">
          <w:rPr>
            <w:rFonts w:ascii="Century Gothic" w:eastAsia="Calibri" w:hAnsi="Century Gothic" w:cs="Times New Roman"/>
            <w:sz w:val="20"/>
            <w:szCs w:val="20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4" w:anchor="092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 xml:space="preserve">92, commi 2 e 3, del decreto legislativo 6 settembre 2011, n. </w:t>
        </w:r>
        <w:r w:rsidR="00381027">
          <w:rPr>
            <w:rFonts w:ascii="Century Gothic" w:eastAsia="Calibri" w:hAnsi="Century Gothic" w:cs="Times New Roman"/>
            <w:sz w:val="20"/>
            <w:szCs w:val="20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7856A3" w:rsidRDefault="0084562B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1.6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non avere tentato di influenzare indebitamente il processo decisionale della </w:t>
      </w:r>
      <w:r w:rsidR="006D6ACB" w:rsidRPr="007856A3">
        <w:rPr>
          <w:rFonts w:ascii="Century Gothic" w:eastAsia="Calibri" w:hAnsi="Century Gothic" w:cs="Times New Roman"/>
          <w:sz w:val="20"/>
          <w:szCs w:val="20"/>
        </w:rPr>
        <w:t>Stazione Appaltante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</w:rPr>
        <w:t>c-bis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del Codice);</w:t>
      </w:r>
    </w:p>
    <w:p w:rsidR="00A02C51" w:rsidRPr="007856A3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1.7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c-ter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  <w:r w:rsidRPr="007856A3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7856A3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</w:p>
    <w:p w:rsidR="00F96239" w:rsidRPr="007856A3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7856A3" w:rsidRDefault="00A9370F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E3E18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lastRenderedPageBreak/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 xml:space="preserve">).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).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7856A3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 xml:space="preserve">afo </w:t>
      </w:r>
      <w:r w:rsidR="00384F58">
        <w:rPr>
          <w:rFonts w:ascii="Century Gothic" w:hAnsi="Century Gothic"/>
          <w:b/>
          <w:color w:val="4472C4" w:themeColor="accent5"/>
          <w:sz w:val="20"/>
          <w:szCs w:val="20"/>
        </w:rPr>
        <w:t>13.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>1.</w:t>
      </w:r>
      <w:r w:rsidR="00714186">
        <w:rPr>
          <w:rFonts w:ascii="Century Gothic" w:hAnsi="Century Gothic"/>
          <w:b/>
          <w:color w:val="4472C4" w:themeColor="accent5"/>
          <w:sz w:val="20"/>
          <w:szCs w:val="20"/>
        </w:rPr>
        <w:t>10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 xml:space="preserve"> del disciplinare di gara,</w:t>
      </w: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7856A3" w:rsidRDefault="0084562B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384F58">
        <w:rPr>
          <w:rFonts w:ascii="Century Gothic" w:hAnsi="Century Gothic"/>
          <w:b/>
          <w:color w:val="0070C0"/>
          <w:sz w:val="20"/>
          <w:szCs w:val="20"/>
        </w:rPr>
        <w:t>13.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1.12</w:t>
      </w:r>
      <w:r w:rsidR="00AE3E18" w:rsidRPr="007856A3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7856A3" w:rsidRDefault="00A9370F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384F58">
        <w:rPr>
          <w:rFonts w:ascii="Century Gothic" w:hAnsi="Century Gothic"/>
          <w:b/>
          <w:color w:val="0070C0"/>
          <w:sz w:val="20"/>
          <w:szCs w:val="20"/>
        </w:rPr>
        <w:t>13.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>1.1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3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non 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i/>
          <w:sz w:val="20"/>
          <w:szCs w:val="20"/>
        </w:rPr>
        <w:t>)</w:t>
      </w:r>
    </w:p>
    <w:p w:rsidR="004B6B82" w:rsidRDefault="004B6B82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4B6B82" w:rsidRPr="00C14AFC" w:rsidRDefault="004B6B82" w:rsidP="004B6B82">
      <w:pPr>
        <w:widowControl w:val="0"/>
        <w:tabs>
          <w:tab w:val="num" w:pos="567"/>
          <w:tab w:val="left" w:pos="1134"/>
        </w:tabs>
        <w:spacing w:after="0" w:line="312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C14AFC">
        <w:rPr>
          <w:rFonts w:ascii="Century Gothic" w:hAnsi="Century Gothic"/>
          <w:b/>
          <w:sz w:val="20"/>
          <w:szCs w:val="20"/>
        </w:rPr>
        <w:t>DICHIARA INOLTRE</w:t>
      </w:r>
    </w:p>
    <w:p w:rsidR="004B6B82" w:rsidRPr="00C14AFC" w:rsidRDefault="004B6B82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4B6B82" w:rsidRPr="00C14AFC" w:rsidRDefault="004B6B82" w:rsidP="004B6B82">
      <w:pPr>
        <w:pStyle w:val="Paragrafoelenco"/>
        <w:widowControl w:val="0"/>
        <w:numPr>
          <w:ilvl w:val="0"/>
          <w:numId w:val="6"/>
        </w:numPr>
        <w:spacing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14AFC">
        <w:rPr>
          <w:rFonts w:ascii="Century Gothic" w:hAnsi="Century Gothic"/>
          <w:i/>
          <w:sz w:val="20"/>
          <w:szCs w:val="20"/>
        </w:rPr>
        <w:t>di aver preso visione dell’informativa allegata resa ai sensi dell’art. 13 del Regolamento EU 2016/679 relativa al trattamento dei dati personali operato dal Politecnico di Torino in qualità di Titolare del trattamento.</w:t>
      </w:r>
    </w:p>
    <w:p w:rsidR="00AE3E18" w:rsidRPr="007856A3" w:rsidRDefault="00AE3E18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</w:p>
    <w:p w:rsidR="00AE3E18" w:rsidRPr="007856A3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:rsidR="00557B5F" w:rsidRPr="007856A3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7856A3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</w:t>
      </w: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 xml:space="preserve">                                                                                                             </w:t>
      </w:r>
    </w:p>
    <w:p w:rsidR="00880A82" w:rsidRDefault="00880A82">
      <w:pPr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880A82" w:rsidRDefault="00880A82">
      <w:pPr>
        <w:rPr>
          <w:rFonts w:ascii="Century Gothic" w:hAnsi="Century Gothic"/>
          <w:sz w:val="20"/>
          <w:szCs w:val="20"/>
        </w:rPr>
      </w:pPr>
    </w:p>
    <w:p w:rsidR="00880A82" w:rsidRDefault="00880A82" w:rsidP="00880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Note utili alla compilazione</w:t>
      </w:r>
      <w:r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: </w:t>
      </w:r>
    </w:p>
    <w:p w:rsidR="00880A82" w:rsidRDefault="00880A82" w:rsidP="00880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880A82" w:rsidRDefault="00880A82" w:rsidP="00880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p w:rsidR="00880A82" w:rsidRPr="007856A3" w:rsidRDefault="00880A82">
      <w:pPr>
        <w:rPr>
          <w:rFonts w:ascii="Century Gothic" w:hAnsi="Century Gothic"/>
          <w:sz w:val="20"/>
          <w:szCs w:val="20"/>
        </w:rPr>
      </w:pPr>
    </w:p>
    <w:sectPr w:rsidR="00880A82" w:rsidRPr="007856A3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0F" w:rsidRPr="003F340F" w:rsidRDefault="003F340F" w:rsidP="003F340F">
    <w:pPr>
      <w:pStyle w:val="Intestazione"/>
      <w:jc w:val="right"/>
      <w:rPr>
        <w:rFonts w:ascii="Century Gothic" w:hAnsi="Century Gothic"/>
        <w:b/>
        <w:sz w:val="24"/>
      </w:rPr>
    </w:pPr>
    <w:r>
      <w:rPr>
        <w:rFonts w:ascii="Century Gothic" w:hAnsi="Century Gothic"/>
        <w:b/>
        <w:sz w:val="24"/>
      </w:rP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0DC"/>
    <w:multiLevelType w:val="hybridMultilevel"/>
    <w:tmpl w:val="46E4F4F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7C"/>
    <w:rsid w:val="00006897"/>
    <w:rsid w:val="00050D09"/>
    <w:rsid w:val="0009688E"/>
    <w:rsid w:val="000B3A3D"/>
    <w:rsid w:val="000E6441"/>
    <w:rsid w:val="001113CC"/>
    <w:rsid w:val="00127EF1"/>
    <w:rsid w:val="001724D3"/>
    <w:rsid w:val="001A25F9"/>
    <w:rsid w:val="001C1213"/>
    <w:rsid w:val="001F14D8"/>
    <w:rsid w:val="00224089"/>
    <w:rsid w:val="00235227"/>
    <w:rsid w:val="0025473C"/>
    <w:rsid w:val="002C5EA7"/>
    <w:rsid w:val="002E2BE7"/>
    <w:rsid w:val="00345DDC"/>
    <w:rsid w:val="003759DA"/>
    <w:rsid w:val="003806BA"/>
    <w:rsid w:val="00381027"/>
    <w:rsid w:val="00384F58"/>
    <w:rsid w:val="003C2DC2"/>
    <w:rsid w:val="003F340F"/>
    <w:rsid w:val="004A07B9"/>
    <w:rsid w:val="004B6B82"/>
    <w:rsid w:val="004E6F49"/>
    <w:rsid w:val="0050478F"/>
    <w:rsid w:val="005146FA"/>
    <w:rsid w:val="00546F18"/>
    <w:rsid w:val="00552823"/>
    <w:rsid w:val="00553489"/>
    <w:rsid w:val="00557B5F"/>
    <w:rsid w:val="005905D8"/>
    <w:rsid w:val="00645B38"/>
    <w:rsid w:val="006507A8"/>
    <w:rsid w:val="006D6ACB"/>
    <w:rsid w:val="00710B80"/>
    <w:rsid w:val="00714186"/>
    <w:rsid w:val="00764E17"/>
    <w:rsid w:val="007816A6"/>
    <w:rsid w:val="007856A3"/>
    <w:rsid w:val="007A068F"/>
    <w:rsid w:val="007F7D46"/>
    <w:rsid w:val="00801AA5"/>
    <w:rsid w:val="0084562B"/>
    <w:rsid w:val="00880A82"/>
    <w:rsid w:val="00890D58"/>
    <w:rsid w:val="008A58F3"/>
    <w:rsid w:val="008E55BA"/>
    <w:rsid w:val="009207CB"/>
    <w:rsid w:val="00977BA0"/>
    <w:rsid w:val="00987C53"/>
    <w:rsid w:val="009B03C5"/>
    <w:rsid w:val="009D463B"/>
    <w:rsid w:val="009F1A90"/>
    <w:rsid w:val="00A02C51"/>
    <w:rsid w:val="00A24D6E"/>
    <w:rsid w:val="00A67973"/>
    <w:rsid w:val="00A9370F"/>
    <w:rsid w:val="00AE3E18"/>
    <w:rsid w:val="00B02FBE"/>
    <w:rsid w:val="00B04538"/>
    <w:rsid w:val="00B2667C"/>
    <w:rsid w:val="00B40477"/>
    <w:rsid w:val="00B70E9D"/>
    <w:rsid w:val="00B7321A"/>
    <w:rsid w:val="00B80F43"/>
    <w:rsid w:val="00BA08E2"/>
    <w:rsid w:val="00BD19F4"/>
    <w:rsid w:val="00BD50A8"/>
    <w:rsid w:val="00BE3CAB"/>
    <w:rsid w:val="00BE664E"/>
    <w:rsid w:val="00C02D90"/>
    <w:rsid w:val="00C14AFC"/>
    <w:rsid w:val="00C83D8A"/>
    <w:rsid w:val="00C97F95"/>
    <w:rsid w:val="00CB1653"/>
    <w:rsid w:val="00D1799E"/>
    <w:rsid w:val="00DB01F5"/>
    <w:rsid w:val="00DC2CC6"/>
    <w:rsid w:val="00E33BDE"/>
    <w:rsid w:val="00E57C1B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1E75"/>
  <w15:docId w15:val="{675CC0A5-F0F5-4EB0-A36E-85AEA7CF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Algieri  Carla</cp:lastModifiedBy>
  <cp:revision>97</cp:revision>
  <dcterms:created xsi:type="dcterms:W3CDTF">2018-05-17T12:43:00Z</dcterms:created>
  <dcterms:modified xsi:type="dcterms:W3CDTF">2022-05-05T08:15:00Z</dcterms:modified>
</cp:coreProperties>
</file>