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2E2BE7" w:rsidRPr="00E216C5" w:rsidTr="00E26D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E7" w:rsidRPr="00E216C5" w:rsidRDefault="002E2BE7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2E2BE7" w:rsidRPr="00E216C5" w:rsidRDefault="002E2BE7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7" w:rsidRPr="00ED671F" w:rsidRDefault="002E2BE7" w:rsidP="00E26D7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 w:rsidRPr="001734C4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 ai sensi dell’art. 60, D.lgs. 50/2016 e ss.mm.ii. per l’affidamento </w:t>
            </w:r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della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 xml:space="preserve">Polizza sanitaria – RSMO – rimborso spese medico ospedaliere CIG: </w:t>
            </w:r>
            <w:r w:rsidRPr="00CE2CDF">
              <w:rPr>
                <w:rFonts w:ascii="Century Gothic" w:eastAsia="Times New Roman" w:hAnsi="Century Gothic" w:cs="Poppins"/>
                <w:sz w:val="20"/>
                <w:szCs w:val="20"/>
              </w:rPr>
              <w:t>8865160177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  <w:r w:rsidRPr="001734C4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CUI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>S00518460019202100073</w:t>
            </w:r>
            <w:r w:rsidRPr="001734C4">
              <w:rPr>
                <w:rFonts w:ascii="Century Gothic" w:eastAsia="Times New Roman" w:hAnsi="Century Gothic" w:cs="Poppins"/>
                <w:sz w:val="20"/>
                <w:szCs w:val="20"/>
              </w:rPr>
              <w:tab/>
            </w: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:rsidR="007856A3" w:rsidRDefault="007856A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2E2BE7" w:rsidRPr="007856A3" w:rsidRDefault="002E2BE7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7856A3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7856A3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7856A3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7856A3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7856A3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Il sottoscritto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nato il </w:t>
      </w:r>
      <w:r w:rsidRPr="007856A3">
        <w:rPr>
          <w:rFonts w:ascii="Century Gothic" w:hAnsi="Century Gothic"/>
          <w:lang w:val="it-IT"/>
        </w:rPr>
        <w:tab/>
        <w:t xml:space="preserve"> a </w:t>
      </w:r>
      <w:r w:rsidRPr="007856A3">
        <w:rPr>
          <w:rFonts w:ascii="Century Gothic" w:hAnsi="Century Gothic"/>
          <w:lang w:val="it-IT"/>
        </w:rPr>
        <w:tab/>
        <w:t xml:space="preserve"> (Pr)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Codice Fiscale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in qualità di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dell’impresa ausiliaria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legale in </w:t>
      </w:r>
      <w:r w:rsidR="006D6ACB" w:rsidRPr="007856A3">
        <w:rPr>
          <w:rFonts w:ascii="Century Gothic" w:hAnsi="Century Gothic"/>
          <w:lang w:val="it-IT"/>
        </w:rPr>
        <w:t>C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7856A3">
        <w:rPr>
          <w:rFonts w:ascii="Century Gothic" w:hAnsi="Century Gothic"/>
          <w:lang w:val="it-IT"/>
        </w:rPr>
        <w:t>cell</w:t>
      </w:r>
      <w:proofErr w:type="spellEnd"/>
      <w:r w:rsidRPr="007856A3">
        <w:rPr>
          <w:rFonts w:ascii="Century Gothic" w:hAnsi="Century Gothic"/>
          <w:lang w:val="it-IT"/>
        </w:rPr>
        <w:t xml:space="preserve">. </w:t>
      </w:r>
      <w:r w:rsidRPr="007856A3">
        <w:rPr>
          <w:rFonts w:ascii="Century Gothic" w:hAnsi="Century Gothic"/>
          <w:lang w:val="it-IT"/>
        </w:rPr>
        <w:tab/>
        <w:t xml:space="preserve"> e-mail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>sito web ____________________________________ PEC _______</w:t>
      </w:r>
      <w:r w:rsidR="00987C53" w:rsidRPr="007856A3">
        <w:rPr>
          <w:rFonts w:ascii="Century Gothic" w:hAnsi="Century Gothic"/>
          <w:lang w:val="it-IT"/>
        </w:rPr>
        <w:t>____________________</w:t>
      </w:r>
      <w:r w:rsidR="00F05493" w:rsidRPr="007856A3">
        <w:rPr>
          <w:rFonts w:ascii="Century Gothic" w:hAnsi="Century Gothic"/>
          <w:lang w:val="it-IT"/>
        </w:rPr>
        <w:t>_______</w:t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amministrativa in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partita IVA n. </w:t>
      </w:r>
      <w:r w:rsidRPr="007856A3">
        <w:rPr>
          <w:rFonts w:ascii="Century Gothic" w:hAnsi="Century Gothic"/>
          <w:lang w:val="it-IT"/>
        </w:rPr>
        <w:tab/>
      </w:r>
    </w:p>
    <w:p w:rsidR="00EB15DF" w:rsidRPr="007856A3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7856A3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7856A3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="00A9370F" w:rsidRPr="007856A3">
        <w:rPr>
          <w:rFonts w:ascii="Century Gothic" w:hAnsi="Century Gothic"/>
          <w:b/>
          <w:color w:val="0070C0"/>
          <w:sz w:val="20"/>
          <w:szCs w:val="20"/>
        </w:rPr>
        <w:t>paragrafo 14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.1.1 del disciplinare di gara: </w:t>
      </w:r>
    </w:p>
    <w:p w:rsidR="00B2667C" w:rsidRPr="007856A3" w:rsidRDefault="00B2667C" w:rsidP="003C2D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7856A3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RPr="007856A3" w:rsidTr="008817C7"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7856A3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lastRenderedPageBreak/>
        <w:t>In relazione al paragrafo 14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="00A02C51" w:rsidRPr="007856A3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sussistono le cause di decadenza, di sospensione o di divieto previste dall'</w:t>
      </w:r>
      <w:hyperlink r:id="rId8" w:anchor="067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 xml:space="preserve">articolo 67 del </w:t>
        </w:r>
        <w:bookmarkStart w:id="0" w:name="_GoBack"/>
        <w:bookmarkEnd w:id="0"/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9" w:anchor="084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1" w:anchor="092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non sussistono le cause di decadenza, di sospensione o di divieto previste dall'</w:t>
      </w:r>
      <w:hyperlink r:id="rId12" w:anchor="067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5" w:anchor="092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14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.1.6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non avere tentato di influenzare indebitamente il processo decisionale della </w:t>
      </w:r>
      <w:r w:rsidR="006D6ACB" w:rsidRPr="007856A3">
        <w:rPr>
          <w:rFonts w:ascii="Century Gothic" w:eastAsia="Calibri" w:hAnsi="Century Gothic" w:cs="Times New Roman"/>
          <w:sz w:val="20"/>
          <w:szCs w:val="20"/>
        </w:rPr>
        <w:t>Stazione Appaltante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</w:rPr>
        <w:t>c-bis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del Codice);</w:t>
      </w: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14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.1.7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c-ter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  <w:r w:rsidRPr="007856A3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7856A3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</w:p>
    <w:p w:rsidR="00F96239" w:rsidRPr="007856A3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7856A3" w:rsidRDefault="00A9370F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14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E3E18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 xml:space="preserve">).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).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7856A3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afo 1</w:t>
      </w:r>
      <w:r w:rsidR="00A9370F" w:rsidRPr="007856A3">
        <w:rPr>
          <w:rFonts w:ascii="Century Gothic" w:hAnsi="Century Gothic"/>
          <w:b/>
          <w:color w:val="4472C4" w:themeColor="accent5"/>
          <w:sz w:val="20"/>
          <w:szCs w:val="20"/>
        </w:rPr>
        <w:t>4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.1.</w:t>
      </w:r>
      <w:r w:rsidR="00714186">
        <w:rPr>
          <w:rFonts w:ascii="Century Gothic" w:hAnsi="Century Gothic"/>
          <w:b/>
          <w:color w:val="4472C4" w:themeColor="accent5"/>
          <w:sz w:val="20"/>
          <w:szCs w:val="20"/>
        </w:rPr>
        <w:t>10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 del disciplinare di gara,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7856A3" w:rsidRDefault="00A9370F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paragrafo 14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.1.12</w:t>
      </w:r>
      <w:r w:rsidR="00AE3E18" w:rsidRPr="007856A3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7856A3" w:rsidRDefault="00A9370F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paragrafo 14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3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non 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i/>
          <w:sz w:val="20"/>
          <w:szCs w:val="20"/>
        </w:rPr>
        <w:t>)</w:t>
      </w:r>
    </w:p>
    <w:p w:rsidR="00AE3E18" w:rsidRPr="007856A3" w:rsidRDefault="00AE3E18" w:rsidP="00AE3E18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AE3E18" w:rsidRPr="007856A3" w:rsidRDefault="00AE3E18" w:rsidP="00AE3E18">
      <w:pPr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p w:rsidR="00AE3E18" w:rsidRPr="007856A3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7856A3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7856A3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557B5F" w:rsidRPr="007856A3" w:rsidRDefault="00557B5F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9B03C5" w:rsidRPr="007856A3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9B03C5" w:rsidRPr="007856A3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Century Gothic" w:eastAsia="Times New Roman" w:hAnsi="Century Gothic" w:cs="Times New Roman"/>
          <w:b/>
          <w:color w:val="0000FF"/>
          <w:sz w:val="20"/>
          <w:szCs w:val="20"/>
          <w:u w:val="single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00FF"/>
          <w:sz w:val="20"/>
          <w:szCs w:val="20"/>
          <w:u w:val="single"/>
          <w:lang w:eastAsia="it-IT"/>
        </w:rPr>
        <w:t>Note utili alla compilazione:</w:t>
      </w:r>
    </w:p>
    <w:p w:rsidR="009B03C5" w:rsidRPr="007856A3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La</w:t>
      </w:r>
      <w:r w:rsidRPr="007856A3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dichiarazione deve essere</w:t>
      </w:r>
      <w:r w:rsidR="00557B5F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557B5F" w:rsidRPr="007856A3">
        <w:rPr>
          <w:rFonts w:ascii="Century Gothic" w:hAnsi="Century Gothic"/>
          <w:sz w:val="20"/>
          <w:szCs w:val="20"/>
        </w:rPr>
        <w:t>inserita nella Busta virtuale amministrativa</w:t>
      </w:r>
      <w:r w:rsidR="00890D58" w:rsidRPr="007856A3">
        <w:rPr>
          <w:rFonts w:ascii="Century Gothic" w:hAnsi="Century Gothic"/>
          <w:sz w:val="20"/>
          <w:szCs w:val="20"/>
        </w:rPr>
        <w:t xml:space="preserve">. 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</w:p>
    <w:p w:rsidR="009B03C5" w:rsidRPr="007856A3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785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50D09"/>
    <w:rsid w:val="0009688E"/>
    <w:rsid w:val="000B3A3D"/>
    <w:rsid w:val="000E6441"/>
    <w:rsid w:val="001113CC"/>
    <w:rsid w:val="001724D3"/>
    <w:rsid w:val="001A25F9"/>
    <w:rsid w:val="00224089"/>
    <w:rsid w:val="0025473C"/>
    <w:rsid w:val="002C5EA7"/>
    <w:rsid w:val="002E2BE7"/>
    <w:rsid w:val="00345DDC"/>
    <w:rsid w:val="003806BA"/>
    <w:rsid w:val="003C2DC2"/>
    <w:rsid w:val="0050478F"/>
    <w:rsid w:val="005146FA"/>
    <w:rsid w:val="00546F18"/>
    <w:rsid w:val="00552823"/>
    <w:rsid w:val="00557B5F"/>
    <w:rsid w:val="005905D8"/>
    <w:rsid w:val="006507A8"/>
    <w:rsid w:val="006D6ACB"/>
    <w:rsid w:val="00710B80"/>
    <w:rsid w:val="00714186"/>
    <w:rsid w:val="00764E17"/>
    <w:rsid w:val="007816A6"/>
    <w:rsid w:val="007856A3"/>
    <w:rsid w:val="007A068F"/>
    <w:rsid w:val="00801AA5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9370F"/>
    <w:rsid w:val="00AE3E18"/>
    <w:rsid w:val="00B02FBE"/>
    <w:rsid w:val="00B04538"/>
    <w:rsid w:val="00B2667C"/>
    <w:rsid w:val="00B40477"/>
    <w:rsid w:val="00B70E9D"/>
    <w:rsid w:val="00B7321A"/>
    <w:rsid w:val="00B80F43"/>
    <w:rsid w:val="00BA08E2"/>
    <w:rsid w:val="00BD19F4"/>
    <w:rsid w:val="00BE664E"/>
    <w:rsid w:val="00C02D90"/>
    <w:rsid w:val="00C83D8A"/>
    <w:rsid w:val="00C97F95"/>
    <w:rsid w:val="00CB1653"/>
    <w:rsid w:val="00D1799E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ALGIERI  CARLA</cp:lastModifiedBy>
  <cp:revision>75</cp:revision>
  <dcterms:created xsi:type="dcterms:W3CDTF">2018-05-17T12:43:00Z</dcterms:created>
  <dcterms:modified xsi:type="dcterms:W3CDTF">2021-08-20T14:06:00Z</dcterms:modified>
</cp:coreProperties>
</file>