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CB1653" w:rsidRPr="00772225" w:rsidTr="002867E5">
        <w:tc>
          <w:tcPr>
            <w:tcW w:w="3227" w:type="dxa"/>
            <w:shd w:val="clear" w:color="auto" w:fill="auto"/>
            <w:vAlign w:val="center"/>
          </w:tcPr>
          <w:p w:rsidR="00CB1653" w:rsidRPr="001C38B9" w:rsidRDefault="00CB1653" w:rsidP="002867E5">
            <w:pPr>
              <w:suppressAutoHyphens/>
              <w:spacing w:after="0" w:line="360" w:lineRule="auto"/>
              <w:jc w:val="center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1C38B9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CB1653" w:rsidRPr="001C38B9" w:rsidRDefault="00CB1653" w:rsidP="002867E5">
            <w:pPr>
              <w:suppressAutoHyphens/>
              <w:spacing w:after="0" w:line="360" w:lineRule="auto"/>
              <w:jc w:val="center"/>
              <w:rPr>
                <w:rFonts w:ascii="Garamond" w:eastAsia="Times New Roman" w:hAnsi="Garamond" w:cs="Times New Roman"/>
                <w:lang w:eastAsia="zh-CN"/>
              </w:rPr>
            </w:pPr>
            <w:r w:rsidRPr="001C38B9">
              <w:rPr>
                <w:rFonts w:ascii="Garamond" w:eastAsia="Times New Roman" w:hAnsi="Garamond" w:cs="Times New Roman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CB1653" w:rsidRPr="001C38B9" w:rsidRDefault="00CB1653" w:rsidP="002867E5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1C38B9">
              <w:rPr>
                <w:rFonts w:ascii="Garamond" w:eastAsia="Times New Roman" w:hAnsi="Garamond" w:cs="Times New Roman"/>
                <w:lang w:eastAsia="zh-CN"/>
              </w:rPr>
              <w:t>Gara Europea a procedura aperta ai sensi dell’art. 60, D.lgs. 50/2016 e ss.mm.ii. per l’affidamento dei seguenti servizi assicurativi di Ateneo:</w:t>
            </w:r>
          </w:p>
          <w:p w:rsidR="00CB1653" w:rsidRPr="0073691B" w:rsidRDefault="00CB1653" w:rsidP="00CB1653">
            <w:pPr>
              <w:pStyle w:val="Paragrafoelenco"/>
              <w:numPr>
                <w:ilvl w:val="0"/>
                <w:numId w:val="5"/>
              </w:numPr>
              <w:spacing w:line="288" w:lineRule="auto"/>
              <w:jc w:val="both"/>
              <w:rPr>
                <w:rFonts w:ascii="Garamond" w:hAnsi="Garamond"/>
                <w:lang w:eastAsia="zh-CN"/>
              </w:rPr>
            </w:pPr>
            <w:r w:rsidRPr="0073691B">
              <w:rPr>
                <w:rFonts w:ascii="Garamond" w:hAnsi="Garamond"/>
                <w:lang w:eastAsia="zh-CN"/>
              </w:rPr>
              <w:t>Lotto 1 polizza All Risks CIG: 8788766F20 - CUI: S00518460019202100073</w:t>
            </w:r>
          </w:p>
          <w:p w:rsidR="00CB1653" w:rsidRPr="001C38B9" w:rsidRDefault="00CB1653" w:rsidP="002867E5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1C38B9">
              <w:rPr>
                <w:rFonts w:ascii="Garamond" w:eastAsia="Times New Roman" w:hAnsi="Garamond" w:cs="Times New Roman"/>
                <w:i/>
                <w:lang w:eastAsia="zh-CN"/>
              </w:rPr>
              <w:t>oppure</w:t>
            </w:r>
          </w:p>
          <w:p w:rsidR="00CB1653" w:rsidRPr="0073691B" w:rsidRDefault="00CB1653" w:rsidP="00CB1653">
            <w:pPr>
              <w:pStyle w:val="Paragrafoelenco"/>
              <w:numPr>
                <w:ilvl w:val="0"/>
                <w:numId w:val="5"/>
              </w:numPr>
              <w:spacing w:line="288" w:lineRule="auto"/>
              <w:jc w:val="both"/>
              <w:rPr>
                <w:rFonts w:ascii="Garamond" w:hAnsi="Garamond"/>
                <w:lang w:eastAsia="zh-CN"/>
              </w:rPr>
            </w:pPr>
            <w:r w:rsidRPr="0073691B">
              <w:rPr>
                <w:rFonts w:ascii="Garamond" w:hAnsi="Garamond"/>
                <w:lang w:eastAsia="zh-CN"/>
              </w:rPr>
              <w:t>Lotto 2 polizza sanitaria – RSMO – rimborso spese medico ospedaliere CIG: 8788786FA1 - CUI: S00518460019202100073</w:t>
            </w:r>
          </w:p>
          <w:p w:rsidR="00CB1653" w:rsidRDefault="00CB1653" w:rsidP="002867E5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eastAsia="zh-CN"/>
              </w:rPr>
            </w:pPr>
          </w:p>
          <w:p w:rsidR="00CB1653" w:rsidRPr="0073691B" w:rsidRDefault="00CB1653" w:rsidP="002867E5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b/>
                <w:i/>
                <w:color w:val="5B9BD5" w:themeColor="accent1"/>
                <w:lang w:eastAsia="zh-CN"/>
              </w:rPr>
            </w:pPr>
            <w:r w:rsidRPr="0073691B">
              <w:rPr>
                <w:rFonts w:ascii="Garamond" w:eastAsia="Times New Roman" w:hAnsi="Garamond" w:cs="Times New Roman"/>
                <w:b/>
                <w:i/>
                <w:color w:val="5B9BD5" w:themeColor="accent1"/>
                <w:lang w:eastAsia="zh-CN"/>
              </w:rPr>
              <w:t>(specificare il lotto di partecipazione)</w:t>
            </w:r>
          </w:p>
          <w:p w:rsidR="00CB1653" w:rsidRPr="001C38B9" w:rsidRDefault="00CB1653" w:rsidP="002867E5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eastAsia="zh-CN"/>
              </w:rPr>
            </w:pPr>
          </w:p>
        </w:tc>
      </w:tr>
    </w:tbl>
    <w:p w:rsidR="009207CB" w:rsidRDefault="009207CB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bookmarkStart w:id="0" w:name="_GoBack"/>
      <w:bookmarkEnd w:id="0"/>
    </w:p>
    <w:p w:rsidR="00CB1653" w:rsidRPr="00DC2CC6" w:rsidRDefault="00CB16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="006D6ACB">
        <w:rPr>
          <w:rFonts w:ascii="Garamond" w:hAnsi="Garamond"/>
          <w:sz w:val="22"/>
          <w:szCs w:val="22"/>
          <w:lang w:val="it-IT"/>
        </w:rPr>
        <w:t>C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cell.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="00A9370F">
        <w:rPr>
          <w:rFonts w:ascii="Garamond" w:hAnsi="Garamond"/>
          <w:b/>
          <w:color w:val="0070C0"/>
          <w:sz w:val="22"/>
          <w:szCs w:val="22"/>
        </w:rPr>
        <w:t>paragrafo 14</w:t>
      </w:r>
      <w:r w:rsidRPr="00BD19F4">
        <w:rPr>
          <w:rFonts w:ascii="Garamond" w:hAnsi="Garamond"/>
          <w:b/>
          <w:color w:val="0070C0"/>
          <w:sz w:val="22"/>
          <w:szCs w:val="22"/>
        </w:rPr>
        <w:t>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>In relazione al paragrafo 14</w:t>
      </w:r>
      <w:r w:rsidR="00A02C51"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.1.3 del disciplinare di gara, </w:t>
      </w:r>
      <w:r w:rsidR="00A02C51"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="00A02C51"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="00A02C51"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7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8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9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0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1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2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3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4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Pr="00A02C51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>In relazione al paragrafo 14</w:t>
      </w:r>
      <w:r w:rsidR="00A02C51"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.1.5 del disciplinare di gara, </w:t>
      </w:r>
      <w:r w:rsidR="00A02C51" w:rsidRPr="006D6ACB">
        <w:rPr>
          <w:rFonts w:ascii="Garamond" w:eastAsia="Times New Roman" w:hAnsi="Garamond" w:cs="Times New Roman"/>
          <w:lang w:eastAsia="it-IT"/>
        </w:rPr>
        <w:t>dichiara di:</w:t>
      </w:r>
      <w:r w:rsidR="00A02C51"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non avere tentato di influenzare indebitamente il processo decisionale della </w:t>
      </w:r>
      <w:r w:rsidR="006D6ACB">
        <w:rPr>
          <w:rFonts w:ascii="Garamond" w:eastAsia="Calibri" w:hAnsi="Garamond" w:cs="Times New Roman"/>
        </w:rPr>
        <w:t>Stazione Appaltante</w:t>
      </w:r>
      <w:r w:rsidRPr="00A02C51">
        <w:rPr>
          <w:rFonts w:ascii="Garamond" w:eastAsia="Calibri" w:hAnsi="Garamond" w:cs="Times New Roman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10B80">
        <w:rPr>
          <w:rFonts w:ascii="Garamond" w:eastAsia="Calibri" w:hAnsi="Garamond" w:cs="Times New Roman"/>
          <w:i/>
        </w:rPr>
        <w:t>c-bis</w:t>
      </w:r>
      <w:r w:rsidRPr="00A02C51">
        <w:rPr>
          <w:rFonts w:ascii="Garamond" w:eastAsia="Calibri" w:hAnsi="Garamond" w:cs="Times New Roman"/>
        </w:rPr>
        <w:t xml:space="preserve"> del Codice);</w:t>
      </w: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>In relazione al paragrafo 14</w:t>
      </w:r>
      <w:r w:rsidR="00A02C51" w:rsidRPr="00A02C51">
        <w:rPr>
          <w:rFonts w:ascii="Garamond" w:eastAsia="Times New Roman" w:hAnsi="Garamond" w:cs="Times New Roman"/>
          <w:b/>
          <w:color w:val="0070C0"/>
          <w:lang w:eastAsia="it-IT"/>
        </w:rPr>
        <w:t>.1.6 del disciplinare di gara</w:t>
      </w:r>
      <w:r w:rsidR="00A02C51" w:rsidRPr="006D6ACB">
        <w:rPr>
          <w:rFonts w:ascii="Garamond" w:eastAsia="Times New Roman" w:hAnsi="Garamond" w:cs="Times New Roman"/>
          <w:b/>
          <w:color w:val="0070C0"/>
          <w:lang w:eastAsia="it-IT"/>
        </w:rPr>
        <w:t xml:space="preserve">, </w:t>
      </w:r>
      <w:r w:rsidR="00A02C51" w:rsidRPr="006D6ACB">
        <w:rPr>
          <w:rFonts w:ascii="Garamond" w:eastAsia="Times New Roman" w:hAnsi="Garamond" w:cs="Times New Roman"/>
          <w:lang w:eastAsia="it-IT"/>
        </w:rPr>
        <w:t>dichiara di:</w:t>
      </w:r>
      <w:r w:rsidR="00A02C51"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10B80">
        <w:rPr>
          <w:rFonts w:ascii="Garamond" w:eastAsia="Calibri" w:hAnsi="Garamond" w:cs="Times New Roman"/>
          <w:i/>
          <w:lang w:bidi="it-IT"/>
        </w:rPr>
        <w:t>c-ter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F96239" w:rsidRDefault="00A02C51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>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10B80">
        <w:rPr>
          <w:rFonts w:ascii="Garamond" w:eastAsia="Calibri" w:hAnsi="Garamond" w:cs="Times New Roman"/>
          <w:i/>
          <w:lang w:bidi="it-IT"/>
        </w:rPr>
        <w:t>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</w:p>
    <w:p w:rsidR="00F96239" w:rsidRDefault="00F96239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E3E18" w:rsidRPr="00710B80" w:rsidRDefault="00A9370F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>In relazione al paragrafo 14</w:t>
      </w:r>
      <w:r w:rsidR="00AE3E18" w:rsidRPr="00F96239">
        <w:rPr>
          <w:rFonts w:ascii="Garamond" w:eastAsia="Times New Roman" w:hAnsi="Garamond" w:cs="Times New Roman"/>
          <w:b/>
          <w:color w:val="0070C0"/>
          <w:lang w:eastAsia="it-IT"/>
        </w:rPr>
        <w:t xml:space="preserve">.1.7 del disciplinare di gara, </w:t>
      </w:r>
      <w:r w:rsidR="00AE3E18" w:rsidRPr="00710B80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u w:val="single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 xml:space="preserve">). </w:t>
      </w: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>).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E3E18" w:rsidRPr="00710B80" w:rsidRDefault="00AE3E18" w:rsidP="00FF486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710B80">
        <w:rPr>
          <w:rFonts w:ascii="Garamond" w:hAnsi="Garamond"/>
          <w:b/>
          <w:color w:val="0070C0"/>
          <w:sz w:val="22"/>
          <w:szCs w:val="22"/>
        </w:rPr>
        <w:t>In relazione al paragr</w:t>
      </w:r>
      <w:r w:rsidRPr="00710B80">
        <w:rPr>
          <w:rFonts w:ascii="Garamond" w:hAnsi="Garamond"/>
          <w:b/>
          <w:color w:val="4472C4" w:themeColor="accent5"/>
          <w:sz w:val="22"/>
          <w:szCs w:val="22"/>
        </w:rPr>
        <w:t>afo 1</w:t>
      </w:r>
      <w:r w:rsidR="00A9370F">
        <w:rPr>
          <w:rFonts w:ascii="Garamond" w:hAnsi="Garamond"/>
          <w:b/>
          <w:color w:val="4472C4" w:themeColor="accent5"/>
          <w:sz w:val="22"/>
          <w:szCs w:val="22"/>
        </w:rPr>
        <w:t>4</w:t>
      </w:r>
      <w:r w:rsidRPr="00710B80">
        <w:rPr>
          <w:rFonts w:ascii="Garamond" w:hAnsi="Garamond"/>
          <w:b/>
          <w:color w:val="4472C4" w:themeColor="accent5"/>
          <w:sz w:val="22"/>
          <w:szCs w:val="22"/>
        </w:rPr>
        <w:t>.1.9 del disciplinare di gara,</w:t>
      </w:r>
      <w:r w:rsidRPr="00710B8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10B80">
        <w:rPr>
          <w:rFonts w:ascii="Garamond" w:hAnsi="Garamond"/>
          <w:sz w:val="22"/>
          <w:szCs w:val="22"/>
        </w:rPr>
        <w:t xml:space="preserve">dichiara di: 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t xml:space="preserve"> </w:t>
      </w:r>
      <w:r w:rsidRPr="00710B80">
        <w:rPr>
          <w:rFonts w:ascii="Garamond" w:hAnsi="Garamond"/>
        </w:rPr>
        <w:t xml:space="preserve">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rPr>
          <w:rFonts w:ascii="Garamond" w:hAnsi="Garamond"/>
        </w:rPr>
        <w:t xml:space="preserve">non 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Default="00AE3E18" w:rsidP="00AE3E18">
      <w:pPr>
        <w:jc w:val="both"/>
        <w:rPr>
          <w:rFonts w:ascii="Garamond" w:hAnsi="Garamond"/>
          <w:color w:val="0070C0"/>
        </w:rPr>
      </w:pPr>
    </w:p>
    <w:p w:rsidR="00AE3E18" w:rsidRDefault="00A9370F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AE3E18">
        <w:rPr>
          <w:rFonts w:ascii="Garamond" w:hAnsi="Garamond"/>
          <w:b/>
          <w:color w:val="0070C0"/>
          <w:sz w:val="22"/>
          <w:szCs w:val="22"/>
        </w:rPr>
        <w:t>.1.11</w:t>
      </w:r>
      <w:r w:rsidR="00AE3E18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AE3E18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AE3E18"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rPr>
          <w:rFonts w:ascii="Garamond" w:hAnsi="Garamond"/>
        </w:rPr>
      </w:pPr>
    </w:p>
    <w:p w:rsidR="00AE3E18" w:rsidRDefault="00A9370F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AE3E18">
        <w:rPr>
          <w:rFonts w:ascii="Garamond" w:hAnsi="Garamond"/>
          <w:b/>
          <w:color w:val="0070C0"/>
          <w:sz w:val="22"/>
          <w:szCs w:val="22"/>
        </w:rPr>
        <w:t>.1.</w:t>
      </w:r>
      <w:r w:rsidR="00AE3E18" w:rsidRPr="009207CB">
        <w:rPr>
          <w:rFonts w:ascii="Garamond" w:hAnsi="Garamond"/>
          <w:b/>
          <w:color w:val="0070C0"/>
          <w:sz w:val="22"/>
          <w:szCs w:val="22"/>
        </w:rPr>
        <w:t>12 d</w:t>
      </w:r>
      <w:r w:rsidR="00AE3E18">
        <w:rPr>
          <w:rFonts w:ascii="Garamond" w:hAnsi="Garamond"/>
          <w:b/>
          <w:color w:val="0070C0"/>
          <w:sz w:val="22"/>
          <w:szCs w:val="22"/>
        </w:rPr>
        <w:t xml:space="preserve">el disciplinare di gara, </w:t>
      </w:r>
      <w:r w:rsidR="00AE3E18"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non 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  <w:i/>
        </w:rPr>
        <w:t>)</w:t>
      </w:r>
    </w:p>
    <w:p w:rsidR="00AE3E18" w:rsidRDefault="00AE3E18" w:rsidP="00AE3E18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AE3E18" w:rsidRDefault="00AE3E18" w:rsidP="00AE3E18"/>
    <w:p w:rsidR="00AE3E18" w:rsidRDefault="00AE3E18" w:rsidP="00AE3E18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</w:p>
    <w:p w:rsidR="00AE3E18" w:rsidRDefault="00AE3E18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strike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 xml:space="preserve">FIRMA </w:t>
      </w:r>
    </w:p>
    <w:p w:rsidR="00557B5F" w:rsidRPr="00890D58" w:rsidRDefault="00557B5F" w:rsidP="00557B5F">
      <w:pPr>
        <w:spacing w:after="0" w:line="360" w:lineRule="auto"/>
        <w:jc w:val="right"/>
        <w:rPr>
          <w:rFonts w:ascii="Garamond" w:eastAsia="Times New Roman" w:hAnsi="Garamond" w:cs="Arial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(</w:t>
      </w:r>
      <w:r w:rsidRPr="00890D58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:rsidR="00557B5F" w:rsidRDefault="00557B5F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890D58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La</w:t>
      </w:r>
      <w:r w:rsidRPr="00890D58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890D58">
        <w:rPr>
          <w:rFonts w:ascii="Garamond" w:eastAsia="Times New Roman" w:hAnsi="Garamond" w:cs="Times New Roman"/>
          <w:lang w:eastAsia="it-IT"/>
        </w:rPr>
        <w:t>dichiarazione deve essere</w:t>
      </w:r>
      <w:r w:rsidR="00557B5F" w:rsidRPr="00890D58">
        <w:rPr>
          <w:rFonts w:ascii="Garamond" w:eastAsia="Times New Roman" w:hAnsi="Garamond" w:cs="Times New Roman"/>
          <w:lang w:eastAsia="it-IT"/>
        </w:rPr>
        <w:t xml:space="preserve"> </w:t>
      </w:r>
      <w:r w:rsidR="00557B5F" w:rsidRPr="00890D58">
        <w:rPr>
          <w:rFonts w:ascii="Garamond" w:hAnsi="Garamond"/>
        </w:rPr>
        <w:t>inserita nella Busta virtuale amministrativa</w:t>
      </w:r>
      <w:r w:rsidR="00890D58" w:rsidRPr="00890D58">
        <w:rPr>
          <w:rFonts w:ascii="Garamond" w:hAnsi="Garamond"/>
        </w:rPr>
        <w:t xml:space="preserve">. </w:t>
      </w:r>
      <w:r w:rsidRPr="00890D58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BE664E" w:rsidRPr="00890D58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</w:t>
      </w:r>
      <w:r w:rsidRPr="00890D58">
        <w:rPr>
          <w:rFonts w:ascii="Garamond" w:eastAsia="Times New Roman" w:hAnsi="Garamond" w:cs="Times New Roman"/>
          <w:lang w:eastAsia="it-IT"/>
        </w:rPr>
        <w:t>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50D09"/>
    <w:rsid w:val="0009688E"/>
    <w:rsid w:val="000B3A3D"/>
    <w:rsid w:val="001113CC"/>
    <w:rsid w:val="001724D3"/>
    <w:rsid w:val="001A25F9"/>
    <w:rsid w:val="00224089"/>
    <w:rsid w:val="0025473C"/>
    <w:rsid w:val="002C5EA7"/>
    <w:rsid w:val="00345DDC"/>
    <w:rsid w:val="003806BA"/>
    <w:rsid w:val="003C2DC2"/>
    <w:rsid w:val="0050478F"/>
    <w:rsid w:val="005146FA"/>
    <w:rsid w:val="00546F18"/>
    <w:rsid w:val="00552823"/>
    <w:rsid w:val="00557B5F"/>
    <w:rsid w:val="005905D8"/>
    <w:rsid w:val="006507A8"/>
    <w:rsid w:val="006D6ACB"/>
    <w:rsid w:val="00710B80"/>
    <w:rsid w:val="00764E17"/>
    <w:rsid w:val="007816A6"/>
    <w:rsid w:val="007A068F"/>
    <w:rsid w:val="00801AA5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24D6E"/>
    <w:rsid w:val="00A67973"/>
    <w:rsid w:val="00A9370F"/>
    <w:rsid w:val="00AE3E18"/>
    <w:rsid w:val="00B02FBE"/>
    <w:rsid w:val="00B04538"/>
    <w:rsid w:val="00B2667C"/>
    <w:rsid w:val="00B40477"/>
    <w:rsid w:val="00B70E9D"/>
    <w:rsid w:val="00B7321A"/>
    <w:rsid w:val="00B80F43"/>
    <w:rsid w:val="00BD19F4"/>
    <w:rsid w:val="00BE664E"/>
    <w:rsid w:val="00C02D90"/>
    <w:rsid w:val="00C83D8A"/>
    <w:rsid w:val="00C97F95"/>
    <w:rsid w:val="00CB1653"/>
    <w:rsid w:val="00D1799E"/>
    <w:rsid w:val="00DB01F5"/>
    <w:rsid w:val="00DC2CC6"/>
    <w:rsid w:val="00E33BDE"/>
    <w:rsid w:val="00E6077A"/>
    <w:rsid w:val="00EB15DF"/>
    <w:rsid w:val="00F05493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EAB9"/>
  <w15:docId w15:val="{325063F2-8A4B-4F0F-A7CA-25DFFF34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FIDALE  ANNA</cp:lastModifiedBy>
  <cp:revision>70</cp:revision>
  <dcterms:created xsi:type="dcterms:W3CDTF">2018-05-17T12:43:00Z</dcterms:created>
  <dcterms:modified xsi:type="dcterms:W3CDTF">2021-06-16T13:01:00Z</dcterms:modified>
</cp:coreProperties>
</file>