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1442F" w:rsidRPr="00982A13" w:rsidTr="001914C8">
        <w:tc>
          <w:tcPr>
            <w:tcW w:w="1951" w:type="dxa"/>
            <w:shd w:val="clear" w:color="auto" w:fill="auto"/>
            <w:vAlign w:val="center"/>
          </w:tcPr>
          <w:p w:rsidR="0071442F" w:rsidRPr="00B84C23" w:rsidRDefault="0071442F" w:rsidP="001914C8">
            <w:pPr>
              <w:suppressAutoHyphens/>
              <w:spacing w:line="360" w:lineRule="auto"/>
              <w:rPr>
                <w:rFonts w:ascii="Garamond" w:hAnsi="Garamond"/>
                <w:i/>
                <w:lang w:eastAsia="zh-CN"/>
              </w:rPr>
            </w:pPr>
            <w:r w:rsidRPr="00B84C23">
              <w:rPr>
                <w:rFonts w:ascii="Garamond" w:hAnsi="Garamond"/>
                <w:i/>
                <w:lang w:eastAsia="zh-CN"/>
              </w:rPr>
              <w:t>Stazione appaltante:</w:t>
            </w:r>
          </w:p>
          <w:p w:rsidR="0071442F" w:rsidRPr="00B84C23" w:rsidRDefault="0071442F" w:rsidP="001914C8">
            <w:pPr>
              <w:suppressAutoHyphens/>
              <w:spacing w:line="360" w:lineRule="auto"/>
              <w:rPr>
                <w:rFonts w:ascii="Garamond" w:hAnsi="Garamond"/>
                <w:i/>
                <w:lang w:eastAsia="zh-CN"/>
              </w:rPr>
            </w:pPr>
            <w:r w:rsidRPr="00B84C23">
              <w:rPr>
                <w:rFonts w:ascii="Garamond" w:hAnsi="Garamond"/>
                <w:i/>
                <w:lang w:eastAsia="zh-CN"/>
              </w:rPr>
              <w:t>POLITECNICO DI TORINO</w:t>
            </w:r>
          </w:p>
        </w:tc>
        <w:tc>
          <w:tcPr>
            <w:tcW w:w="7796" w:type="dxa"/>
            <w:shd w:val="clear" w:color="auto" w:fill="auto"/>
          </w:tcPr>
          <w:p w:rsidR="0071442F" w:rsidRDefault="0071442F" w:rsidP="001914C8">
            <w:pPr>
              <w:spacing w:after="0"/>
              <w:jc w:val="center"/>
              <w:textAlignment w:val="baseline"/>
              <w:rPr>
                <w:rFonts w:ascii="Garamond" w:hAnsi="Garamond"/>
                <w:b/>
              </w:rPr>
            </w:pPr>
          </w:p>
          <w:p w:rsidR="0071442F" w:rsidRPr="00065A21" w:rsidRDefault="0071442F" w:rsidP="001914C8">
            <w:pPr>
              <w:spacing w:after="0"/>
              <w:jc w:val="center"/>
              <w:textAlignment w:val="baseline"/>
              <w:rPr>
                <w:rFonts w:ascii="Garamond" w:hAnsi="Garamond"/>
                <w:b/>
              </w:rPr>
            </w:pPr>
            <w:r w:rsidRPr="00065A21">
              <w:rPr>
                <w:rFonts w:ascii="Garamond" w:hAnsi="Garamond"/>
                <w:b/>
              </w:rPr>
              <w:t>Gara europea a procedura aperta ai sensi dell’art. 60, D.lgs. 50/2016 e ss.mm.ii. per l’affidamento della fornitura di un telaio di reazione per travi fino a 30 m</w:t>
            </w:r>
          </w:p>
          <w:p w:rsidR="0071442F" w:rsidRPr="00982A13" w:rsidRDefault="0071442F" w:rsidP="001914C8">
            <w:pPr>
              <w:spacing w:after="0"/>
              <w:jc w:val="center"/>
              <w:textAlignment w:val="baseline"/>
              <w:rPr>
                <w:rFonts w:ascii="Garamond" w:eastAsia="Verdana" w:hAnsi="Garamond" w:cs="Times New Roman"/>
                <w:i/>
                <w:spacing w:val="-4"/>
              </w:rPr>
            </w:pPr>
            <w:r w:rsidRPr="00065A21">
              <w:rPr>
                <w:rFonts w:ascii="Garamond" w:hAnsi="Garamond"/>
              </w:rPr>
              <w:t>CIG 7993483ED5 – CUP E11G18000700005 – CUI F00518460019201900077</w:t>
            </w:r>
          </w:p>
        </w:tc>
      </w:tr>
    </w:tbl>
    <w:p w:rsidR="0071442F" w:rsidRDefault="0071442F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bookmarkStart w:id="0" w:name="_GoBack"/>
      <w:bookmarkEnd w:id="0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737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  <w:r w:rsidR="00BD5737">
              <w:rPr>
                <w:rFonts w:ascii="Garamond" w:hAnsi="Garamond"/>
                <w:b/>
                <w:color w:val="C00000"/>
              </w:rPr>
              <w:t xml:space="preserve"> - Avvalimento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205C43" w:rsidRDefault="00205C43" w:rsidP="00205C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15.1.3 del disciplinare di gara, </w:t>
      </w:r>
      <w:r>
        <w:rPr>
          <w:rFonts w:ascii="Garamond" w:eastAsia="Times New Roman" w:hAnsi="Garamond" w:cs="Times New Roman"/>
          <w:lang w:eastAsia="it-IT"/>
        </w:rPr>
        <w:t>dichiara che a carico dei soggetti di cui</w:t>
      </w:r>
      <w:r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>
        <w:rPr>
          <w:rFonts w:ascii="Garamond" w:eastAsia="Calibri" w:hAnsi="Garamond" w:cs="Times New Roman"/>
          <w:sz w:val="28"/>
          <w:szCs w:val="28"/>
          <w:lang w:bidi="it-IT"/>
        </w:rPr>
        <w:sym w:font="Garamond" w:char="F071"/>
      </w:r>
      <w:r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8" w:anchor="067" w:history="1">
        <w:r>
          <w:rPr>
            <w:rStyle w:val="Collegamentoipertestuale"/>
            <w:rFonts w:ascii="Garamond" w:eastAsia="Calibri" w:hAnsi="Garamond"/>
            <w:lang w:bidi="it-IT"/>
          </w:rPr>
          <w:t>articolo 67 del decreto legislativo 6 settembre 2011, n. 159</w:t>
        </w:r>
      </w:hyperlink>
      <w:r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9" w:anchor="084" w:history="1">
        <w:r>
          <w:rPr>
            <w:rStyle w:val="Collegamentoipertestuale"/>
            <w:rFonts w:ascii="Garamond" w:eastAsia="Calibri" w:hAnsi="Garamond"/>
            <w:lang w:bidi="it-IT"/>
          </w:rPr>
          <w:t>articolo 84, comma 4, del medesimo decreto</w:t>
        </w:r>
      </w:hyperlink>
      <w:r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0" w:anchor="088" w:history="1">
        <w:r>
          <w:rPr>
            <w:rStyle w:val="Collegamentoipertestuale"/>
            <w:rFonts w:ascii="Garamond" w:eastAsia="Calibri" w:hAnsi="Garamond"/>
            <w:lang w:bidi="it-IT"/>
          </w:rPr>
          <w:t>articoli 88, comma 4-bis</w:t>
        </w:r>
      </w:hyperlink>
      <w:r>
        <w:rPr>
          <w:rFonts w:ascii="Garamond" w:eastAsia="Calibri" w:hAnsi="Garamond" w:cs="Times New Roman"/>
          <w:lang w:bidi="it-IT"/>
        </w:rPr>
        <w:t xml:space="preserve">, e </w:t>
      </w:r>
      <w:hyperlink r:id="rId11" w:anchor="092" w:history="1">
        <w:r>
          <w:rPr>
            <w:rStyle w:val="Collegamentoipertestuale"/>
            <w:rFonts w:ascii="Garamond" w:eastAsia="Calibri" w:hAnsi="Garamond"/>
            <w:lang w:bidi="it-IT"/>
          </w:rPr>
          <w:t>92, commi 2 e 3, del decreto legislativo 6 settembre 2011, n. 159</w:t>
        </w:r>
      </w:hyperlink>
      <w:r>
        <w:rPr>
          <w:rFonts w:ascii="Garamond" w:eastAsia="Calibri" w:hAnsi="Garamond" w:cs="Times New Roman"/>
          <w:lang w:bidi="it-IT"/>
        </w:rPr>
        <w:t xml:space="preserve">, con riferimento rispettivamente alle comunicazioni antimafia e alle informazioni antimafia (art. 80, comma 2, del Codice) </w:t>
      </w: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>
        <w:rPr>
          <w:rFonts w:ascii="Garamond" w:eastAsia="Calibri" w:hAnsi="Garamond" w:cs="Times New Roman"/>
          <w:sz w:val="28"/>
          <w:szCs w:val="28"/>
          <w:lang w:bidi="it-IT"/>
        </w:rPr>
        <w:sym w:font="Garamond" w:char="F071"/>
      </w:r>
      <w:r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2" w:anchor="067" w:history="1">
        <w:r>
          <w:rPr>
            <w:rStyle w:val="Collegamentoipertestuale"/>
            <w:rFonts w:ascii="Garamond" w:eastAsia="Calibri" w:hAnsi="Garamond"/>
            <w:lang w:bidi="it-IT"/>
          </w:rPr>
          <w:t>articolo 67 del decreto legislativo 6 settembre 2011, n. 159</w:t>
        </w:r>
      </w:hyperlink>
      <w:r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3" w:anchor="084" w:history="1">
        <w:r>
          <w:rPr>
            <w:rStyle w:val="Collegamentoipertestuale"/>
            <w:rFonts w:ascii="Garamond" w:eastAsia="Calibri" w:hAnsi="Garamond"/>
            <w:lang w:bidi="it-IT"/>
          </w:rPr>
          <w:t>articolo 84, comma 4, del medesimo decreto</w:t>
        </w:r>
      </w:hyperlink>
      <w:r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4" w:anchor="088" w:history="1">
        <w:r>
          <w:rPr>
            <w:rStyle w:val="Collegamentoipertestuale"/>
            <w:rFonts w:ascii="Garamond" w:eastAsia="Calibri" w:hAnsi="Garamond"/>
            <w:lang w:bidi="it-IT"/>
          </w:rPr>
          <w:t>articoli 88, comma 4-bis</w:t>
        </w:r>
      </w:hyperlink>
      <w:r>
        <w:rPr>
          <w:rFonts w:ascii="Garamond" w:eastAsia="Calibri" w:hAnsi="Garamond" w:cs="Times New Roman"/>
          <w:lang w:bidi="it-IT"/>
        </w:rPr>
        <w:t xml:space="preserve">, e </w:t>
      </w:r>
      <w:hyperlink r:id="rId15" w:anchor="092" w:history="1">
        <w:r>
          <w:rPr>
            <w:rStyle w:val="Collegamentoipertestuale"/>
            <w:rFonts w:ascii="Garamond" w:eastAsia="Calibri" w:hAnsi="Garamond"/>
            <w:lang w:bidi="it-IT"/>
          </w:rPr>
          <w:t>92, commi 2 e 3, del decreto legislativo 6 settembre 2011, n. 159</w:t>
        </w:r>
      </w:hyperlink>
      <w:r>
        <w:rPr>
          <w:rFonts w:ascii="Garamond" w:eastAsia="Calibri" w:hAnsi="Garamond" w:cs="Times New Roman"/>
          <w:lang w:bidi="it-IT"/>
        </w:rPr>
        <w:t xml:space="preserve">, con riferimento rispettivamente alle comunicazioni antimafia e alle informazioni antimafia (art. 80, comma 2, del Codice)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15.1.5 del disciplinare di gara, </w:t>
      </w:r>
      <w:r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205C43" w:rsidRDefault="00205C43" w:rsidP="00205C43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lang w:bidi="it-IT"/>
        </w:rPr>
        <w:sym w:font="Garamond" w:char="F071"/>
      </w:r>
      <w:r>
        <w:rPr>
          <w:rFonts w:ascii="Garamond" w:eastAsia="Calibri" w:hAnsi="Garamond" w:cs="Times New Roman"/>
          <w:lang w:bidi="it-IT"/>
        </w:rPr>
        <w:t xml:space="preserve"> </w:t>
      </w:r>
      <w:r>
        <w:rPr>
          <w:rFonts w:ascii="Garamond" w:eastAsia="Calibri" w:hAnsi="Garamond" w:cs="Times New Roman"/>
        </w:rPr>
        <w:t xml:space="preserve"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r>
        <w:rPr>
          <w:rFonts w:ascii="Garamond" w:eastAsia="Calibri" w:hAnsi="Garamond" w:cs="Times New Roman"/>
        </w:rPr>
        <w:t>lett</w:t>
      </w:r>
      <w:proofErr w:type="spellEnd"/>
      <w:r>
        <w:rPr>
          <w:rFonts w:ascii="Garamond" w:eastAsia="Calibri" w:hAnsi="Garamond" w:cs="Times New Roman"/>
        </w:rPr>
        <w:t>. c-bis del Codice);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  <w:bCs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15.1.6 del disciplinare di gara, </w:t>
      </w:r>
      <w:r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205C43" w:rsidRDefault="00205C43" w:rsidP="00205C43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>
        <w:rPr>
          <w:rFonts w:ascii="Garamond" w:eastAsia="Calibri" w:hAnsi="Garamond" w:cs="Times New Roman"/>
          <w:lang w:bidi="it-IT"/>
        </w:rPr>
        <w:sym w:font="Garamond" w:char="F071"/>
      </w:r>
      <w:r>
        <w:rPr>
          <w:rFonts w:ascii="Garamond" w:eastAsia="Calibri" w:hAnsi="Garamond" w:cs="Times New Roman"/>
          <w:lang w:bidi="it-IT"/>
        </w:rPr>
        <w:t xml:space="preserve">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>
        <w:rPr>
          <w:rFonts w:ascii="Garamond" w:eastAsia="Calibri" w:hAnsi="Garamond" w:cs="Times New Roman"/>
          <w:lang w:bidi="it-IT"/>
        </w:rPr>
        <w:t>lett</w:t>
      </w:r>
      <w:proofErr w:type="spellEnd"/>
      <w:r>
        <w:rPr>
          <w:rFonts w:ascii="Garamond" w:eastAsia="Calibri" w:hAnsi="Garamond" w:cs="Times New Roman"/>
          <w:lang w:bidi="it-IT"/>
        </w:rPr>
        <w:t xml:space="preserve">. c-ter del Codice). </w:t>
      </w:r>
      <w:r>
        <w:rPr>
          <w:rFonts w:ascii="Garamond" w:eastAsia="Calibri" w:hAnsi="Garamond" w:cs="Times New Roman"/>
          <w:u w:val="single"/>
          <w:lang w:bidi="it-IT"/>
        </w:rPr>
        <w:t>In caso affermativo</w:t>
      </w:r>
      <w:r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>
        <w:rPr>
          <w:rFonts w:ascii="Garamond" w:eastAsia="Calibri" w:hAnsi="Garamond" w:cs="Times New Roman"/>
          <w:lang w:bidi="it-IT"/>
        </w:rPr>
        <w:sym w:font="Garamond" w:char="F071"/>
      </w:r>
      <w:r>
        <w:rPr>
          <w:rFonts w:ascii="Garamond" w:eastAsia="Calibri" w:hAnsi="Garamond" w:cs="Times New Roman"/>
          <w:lang w:bidi="it-IT"/>
        </w:rPr>
        <w:t xml:space="preserve">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>
        <w:rPr>
          <w:rFonts w:ascii="Garamond" w:eastAsia="Calibri" w:hAnsi="Garamond" w:cs="Times New Roman"/>
          <w:lang w:bidi="it-IT"/>
        </w:rPr>
        <w:t>lett</w:t>
      </w:r>
      <w:proofErr w:type="spellEnd"/>
      <w:r>
        <w:rPr>
          <w:rFonts w:ascii="Garamond" w:eastAsia="Calibri" w:hAnsi="Garamond" w:cs="Times New Roman"/>
          <w:lang w:bidi="it-IT"/>
        </w:rPr>
        <w:t xml:space="preserve">. c-ter del Codice).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5B9BD5" w:themeColor="accent1"/>
          <w:sz w:val="22"/>
          <w:szCs w:val="22"/>
        </w:rPr>
        <w:t xml:space="preserve">7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  <w:u w:val="single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c-quater</w:t>
      </w:r>
      <w:r>
        <w:rPr>
          <w:rFonts w:ascii="Garamond" w:hAnsi="Garamond"/>
        </w:rPr>
        <w:t xml:space="preserve">).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  <w:lang w:bidi="it-IT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c-quater</w:t>
      </w:r>
      <w:r>
        <w:rPr>
          <w:rFonts w:ascii="Garamond" w:hAnsi="Garamond"/>
        </w:rPr>
        <w:t>).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205C43" w:rsidRDefault="00205C43" w:rsidP="00205C43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>
        <w:rPr>
          <w:rFonts w:ascii="Garamond" w:hAnsi="Garamond"/>
          <w:b/>
          <w:color w:val="5B9BD5" w:themeColor="accent1"/>
          <w:sz w:val="22"/>
          <w:szCs w:val="22"/>
        </w:rPr>
        <w:t xml:space="preserve">.9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t xml:space="preserve"> </w:t>
      </w:r>
      <w:r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e</w:t>
      </w:r>
      <w:r>
        <w:rPr>
          <w:rFonts w:ascii="Garamond" w:hAnsi="Garamond"/>
        </w:rPr>
        <w:t xml:space="preserve"> del Codice)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lastRenderedPageBreak/>
        <w:sym w:font="Garamond" w:char="F071"/>
      </w:r>
      <w:r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e</w:t>
      </w:r>
      <w:r>
        <w:rPr>
          <w:rFonts w:ascii="Garamond" w:hAnsi="Garamond"/>
        </w:rPr>
        <w:t xml:space="preserve"> del Codice)</w:t>
      </w:r>
    </w:p>
    <w:p w:rsidR="00205C43" w:rsidRDefault="00205C43" w:rsidP="00205C43">
      <w:pPr>
        <w:jc w:val="both"/>
        <w:rPr>
          <w:rFonts w:ascii="Garamond" w:hAnsi="Garamond"/>
          <w:color w:val="0070C0"/>
        </w:rPr>
      </w:pPr>
    </w:p>
    <w:p w:rsidR="00205C43" w:rsidRDefault="00205C43" w:rsidP="00205C43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15.1.11</w:t>
      </w:r>
      <w:r>
        <w:rPr>
          <w:rFonts w:ascii="Garamond" w:hAnsi="Garamond"/>
          <w:b/>
          <w:color w:val="FF0000"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f-bis</w:t>
      </w:r>
      <w:r>
        <w:rPr>
          <w:rFonts w:ascii="Garamond" w:hAnsi="Garamond"/>
        </w:rPr>
        <w:t>)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f-bis</w:t>
      </w:r>
      <w:r>
        <w:rPr>
          <w:rFonts w:ascii="Garamond" w:hAnsi="Garamond"/>
        </w:rPr>
        <w:t>)</w:t>
      </w:r>
    </w:p>
    <w:p w:rsidR="00205C43" w:rsidRDefault="00205C43" w:rsidP="00205C43">
      <w:pPr>
        <w:ind w:left="720"/>
        <w:contextualSpacing/>
        <w:rPr>
          <w:rFonts w:ascii="Garamond" w:hAnsi="Garamond"/>
        </w:rPr>
      </w:pPr>
    </w:p>
    <w:p w:rsidR="00205C43" w:rsidRDefault="00205C43" w:rsidP="00205C43">
      <w:pPr>
        <w:pStyle w:val="Paragrafoelenco"/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5B9BD5" w:themeColor="accent1"/>
          <w:sz w:val="22"/>
          <w:szCs w:val="22"/>
        </w:rPr>
        <w:t>12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f-ter</w:t>
      </w:r>
      <w:r>
        <w:rPr>
          <w:rFonts w:ascii="Garamond" w:hAnsi="Garamond"/>
        </w:rPr>
        <w:t>)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proofErr w:type="spell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 f-ter)</w:t>
      </w:r>
    </w:p>
    <w:p w:rsidR="00205C43" w:rsidRDefault="00205C43" w:rsidP="00205C43">
      <w:pPr>
        <w:ind w:left="720"/>
        <w:contextualSpacing/>
        <w:jc w:val="both"/>
        <w:rPr>
          <w:rFonts w:ascii="Garamond" w:hAnsi="Garamond"/>
        </w:rPr>
      </w:pPr>
    </w:p>
    <w:p w:rsidR="00205C43" w:rsidRDefault="00205C43" w:rsidP="00205C43"/>
    <w:p w:rsidR="00205C43" w:rsidRDefault="00205C43" w:rsidP="00205C43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Lì ____________________</w:t>
      </w:r>
    </w:p>
    <w:p w:rsidR="00205C43" w:rsidRDefault="00205C43" w:rsidP="00205C43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205C43" w:rsidRDefault="00205C43" w:rsidP="00205C43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205C43" w:rsidRDefault="00205C43" w:rsidP="00205C43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205C43" w:rsidRDefault="00205C43" w:rsidP="00205C43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__________________________</w:t>
      </w:r>
    </w:p>
    <w:p w:rsidR="00205C43" w:rsidRDefault="00205C43" w:rsidP="00205C43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B3A3D"/>
    <w:rsid w:val="001113CC"/>
    <w:rsid w:val="001217DC"/>
    <w:rsid w:val="001724D3"/>
    <w:rsid w:val="001A25F9"/>
    <w:rsid w:val="001C684E"/>
    <w:rsid w:val="00205C43"/>
    <w:rsid w:val="002256C8"/>
    <w:rsid w:val="00277847"/>
    <w:rsid w:val="003B3912"/>
    <w:rsid w:val="003C2DC2"/>
    <w:rsid w:val="00474A53"/>
    <w:rsid w:val="0050478F"/>
    <w:rsid w:val="005905D8"/>
    <w:rsid w:val="006352EC"/>
    <w:rsid w:val="006507A8"/>
    <w:rsid w:val="006C077D"/>
    <w:rsid w:val="0071442F"/>
    <w:rsid w:val="00764E17"/>
    <w:rsid w:val="007816A6"/>
    <w:rsid w:val="008A58F3"/>
    <w:rsid w:val="0097345D"/>
    <w:rsid w:val="00987C53"/>
    <w:rsid w:val="009B03C5"/>
    <w:rsid w:val="009D463B"/>
    <w:rsid w:val="009F1A90"/>
    <w:rsid w:val="00A02C51"/>
    <w:rsid w:val="00A24D6E"/>
    <w:rsid w:val="00A67973"/>
    <w:rsid w:val="00B02FBE"/>
    <w:rsid w:val="00B2667C"/>
    <w:rsid w:val="00B80F43"/>
    <w:rsid w:val="00BD19F4"/>
    <w:rsid w:val="00BD5737"/>
    <w:rsid w:val="00BE7500"/>
    <w:rsid w:val="00C83D8A"/>
    <w:rsid w:val="00DC2CC6"/>
    <w:rsid w:val="00E33BDE"/>
    <w:rsid w:val="00E6077A"/>
    <w:rsid w:val="00EB15DF"/>
    <w:rsid w:val="00F05493"/>
    <w:rsid w:val="00FB09E4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ALGIERI  CARLA</cp:lastModifiedBy>
  <cp:revision>52</cp:revision>
  <dcterms:created xsi:type="dcterms:W3CDTF">2018-05-17T12:43:00Z</dcterms:created>
  <dcterms:modified xsi:type="dcterms:W3CDTF">2019-08-07T07:14:00Z</dcterms:modified>
</cp:coreProperties>
</file>