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6507A8" w:rsidRPr="006507A8" w:rsidRDefault="006507A8" w:rsidP="006507A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07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 ai sensi dell’art. 60, D.lgs. 50/2016 e </w:t>
            </w:r>
            <w:proofErr w:type="spellStart"/>
            <w:r w:rsidRPr="006507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6507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della fornitura di una stazione di </w:t>
            </w:r>
            <w:proofErr w:type="spellStart"/>
            <w:r w:rsidRPr="006507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friction</w:t>
            </w:r>
            <w:proofErr w:type="spellEnd"/>
            <w:r w:rsidRPr="006507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507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stir</w:t>
            </w:r>
            <w:proofErr w:type="spellEnd"/>
            <w:r w:rsidRPr="006507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507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welding</w:t>
            </w:r>
            <w:proofErr w:type="spellEnd"/>
            <w:r w:rsidRPr="006507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per la saldatura allo stato semi-solido di materiali e componenti di interesse industriale, unitamente alla </w:t>
            </w:r>
            <w:proofErr w:type="spellStart"/>
            <w:r w:rsidRPr="006507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sensoristica</w:t>
            </w:r>
            <w:proofErr w:type="spellEnd"/>
            <w:r w:rsidRPr="006507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necessaria per il controllo ed il monitoraggio del processo di giunzione, da assemblare in fase di consegna</w:t>
            </w:r>
          </w:p>
          <w:p w:rsidR="006507A8" w:rsidRPr="006507A8" w:rsidRDefault="006507A8" w:rsidP="006507A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07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CIG </w:t>
            </w:r>
            <w:r w:rsidR="00904A55" w:rsidRPr="00904A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7871826450</w:t>
            </w:r>
            <w:bookmarkStart w:id="0" w:name="_GoBack"/>
            <w:bookmarkEnd w:id="0"/>
          </w:p>
          <w:p w:rsidR="00987C53" w:rsidRPr="00DC2CC6" w:rsidRDefault="001724D3" w:rsidP="006507A8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1724D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CID 321 - 41 – CUP E15D18000320007– CUI F00518460019201900087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D19F4">
        <w:rPr>
          <w:rFonts w:ascii="Garamond" w:hAnsi="Garamond"/>
          <w:b/>
          <w:color w:val="0070C0"/>
          <w:sz w:val="22"/>
          <w:szCs w:val="22"/>
        </w:rPr>
        <w:t>paragrafo 15.1.1 del disciplinare</w:t>
      </w:r>
      <w:r>
        <w:rPr>
          <w:rFonts w:ascii="Garamond" w:hAnsi="Garamond"/>
          <w:b/>
          <w:color w:val="0070C0"/>
          <w:sz w:val="22"/>
          <w:szCs w:val="22"/>
        </w:rPr>
        <w:t xml:space="preserve">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>
        <w:rPr>
          <w:rFonts w:ascii="Garamond" w:hAnsi="Garamond"/>
          <w:b/>
          <w:color w:val="0070C0"/>
          <w:sz w:val="22"/>
          <w:szCs w:val="22"/>
        </w:rPr>
        <w:t>15.2.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lastRenderedPageBreak/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15.1.3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che a carico dei soggetti di cui</w:t>
      </w:r>
      <w:r w:rsidRPr="00A02C51">
        <w:rPr>
          <w:rFonts w:ascii="Garamond" w:eastAsia="Times New Roman" w:hAnsi="Garamond" w:cs="Times New Roman"/>
          <w:lang w:eastAsia="it-IT" w:bidi="it-IT"/>
        </w:rPr>
        <w:t xml:space="preserve"> all’art. 80 comma 3: </w:t>
      </w:r>
      <w:r w:rsidRPr="00A02C51">
        <w:rPr>
          <w:rFonts w:ascii="Garamond" w:eastAsia="Times New Roman" w:hAnsi="Garamond" w:cs="Times New Roman"/>
          <w:i/>
          <w:sz w:val="24"/>
          <w:szCs w:val="24"/>
          <w:lang w:eastAsia="it-IT"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sussistono le cause di decadenza, di sospensione o di divieto previste dall'</w:t>
      </w:r>
      <w:hyperlink r:id="rId8" w:anchor="067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o di un tentativo di infiltrazione mafiosa di cui all'</w:t>
      </w:r>
      <w:hyperlink r:id="rId9" w:anchor="084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0" w:anchor="088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1" w:anchor="092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non sussistono le cause di decadenza, di sospensione o di divieto previste dall'</w:t>
      </w:r>
      <w:hyperlink r:id="rId12" w:anchor="067" w:history="1">
        <w:r w:rsidRPr="00A02C51">
          <w:rPr>
            <w:rFonts w:ascii="Garamond" w:eastAsia="Calibri" w:hAnsi="Garamond" w:cs="Times New Roman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 o di un tentativo di infiltrazione mafiosa di cui all'</w:t>
      </w:r>
      <w:hyperlink r:id="rId13" w:anchor="084" w:history="1">
        <w:r w:rsidRPr="00A02C51">
          <w:rPr>
            <w:rFonts w:ascii="Garamond" w:eastAsia="Calibri" w:hAnsi="Garamond" w:cs="Times New Roman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4" w:anchor="088" w:history="1">
        <w:r w:rsidRPr="00A02C51">
          <w:rPr>
            <w:rFonts w:ascii="Garamond" w:eastAsia="Calibri" w:hAnsi="Garamond" w:cs="Times New Roman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5" w:anchor="092" w:history="1">
        <w:r w:rsidRPr="00A02C51">
          <w:rPr>
            <w:rFonts w:ascii="Garamond" w:eastAsia="Calibri" w:hAnsi="Garamond" w:cs="Times New Roman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</w:p>
    <w:p w:rsidR="00A02C51" w:rsidRPr="00B80F43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B2667C">
      <w:pPr>
        <w:ind w:left="720"/>
        <w:contextualSpacing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A02C51" w:rsidRPr="00A02C51" w:rsidRDefault="00A02C51" w:rsidP="00A02C51">
      <w:pPr>
        <w:numPr>
          <w:ilvl w:val="0"/>
          <w:numId w:val="3"/>
        </w:numPr>
        <w:contextualSpacing/>
        <w:jc w:val="both"/>
        <w:rPr>
          <w:rFonts w:ascii="Garamond" w:hAnsi="Garamond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15.1.4 del disciplinare di gara,</w:t>
      </w:r>
      <w:r w:rsidRPr="00A02C51">
        <w:rPr>
          <w:rFonts w:ascii="Garamond" w:hAnsi="Garamond"/>
          <w:b/>
        </w:rPr>
        <w:t xml:space="preserve"> </w:t>
      </w:r>
      <w:r w:rsidRPr="00A02C51">
        <w:rPr>
          <w:rFonts w:ascii="Garamond" w:hAnsi="Garamond"/>
        </w:rPr>
        <w:t>dichiara di: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hAnsi="Garamond"/>
        </w:rPr>
      </w:pPr>
      <w:r w:rsidRPr="00A02C51">
        <w:rPr>
          <w:rFonts w:ascii="Garamond" w:hAnsi="Garamond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hAnsi="Garamond"/>
          <w:lang w:bidi="it-IT"/>
        </w:rPr>
      </w:pPr>
      <w:r w:rsidRPr="00A02C51">
        <w:rPr>
          <w:rFonts w:ascii="Garamond" w:hAnsi="Garamond"/>
          <w:lang w:bidi="it-IT"/>
        </w:rPr>
        <w:t></w:t>
      </w:r>
      <w:r w:rsidRPr="00A02C51">
        <w:rPr>
          <w:rFonts w:ascii="Garamond" w:hAnsi="Garamond"/>
          <w:bCs/>
        </w:rPr>
        <w:t xml:space="preserve"> essersi reso colpevole di gravi illeciti professionali, tali da rendere dubbia la sua integrità o affidabilità (art. 80, co. 5, </w:t>
      </w:r>
      <w:proofErr w:type="spellStart"/>
      <w:r w:rsidRPr="00A02C51">
        <w:rPr>
          <w:rFonts w:ascii="Garamond" w:hAnsi="Garamond"/>
          <w:bCs/>
        </w:rPr>
        <w:t>lett</w:t>
      </w:r>
      <w:proofErr w:type="spellEnd"/>
      <w:r w:rsidRPr="00A02C51">
        <w:rPr>
          <w:rFonts w:ascii="Garamond" w:hAnsi="Garamond"/>
          <w:bCs/>
        </w:rPr>
        <w:t xml:space="preserve">. c del Codice). </w:t>
      </w:r>
      <w:r w:rsidRPr="00A02C51">
        <w:rPr>
          <w:rFonts w:ascii="Garamond" w:hAnsi="Garamond"/>
          <w:u w:val="single"/>
          <w:lang w:bidi="it-IT"/>
        </w:rPr>
        <w:t>In caso affermativo</w:t>
      </w:r>
      <w:r w:rsidRPr="00A02C51">
        <w:rPr>
          <w:rFonts w:ascii="Garamond" w:hAnsi="Garamond"/>
          <w:lang w:bidi="it-IT"/>
        </w:rPr>
        <w:t xml:space="preserve">, fornisce informazioni dettagliate da allegare al presente modello. </w:t>
      </w:r>
    </w:p>
    <w:p w:rsidR="00A02C51" w:rsidRDefault="00A02C51" w:rsidP="00A02C51">
      <w:pPr>
        <w:ind w:left="720"/>
        <w:contextualSpacing/>
        <w:jc w:val="both"/>
        <w:rPr>
          <w:rFonts w:ascii="Garamond" w:hAnsi="Garamond"/>
          <w:bCs/>
        </w:rPr>
      </w:pPr>
      <w:r w:rsidRPr="00A02C51">
        <w:rPr>
          <w:rFonts w:ascii="Garamond" w:hAnsi="Garamond"/>
          <w:lang w:bidi="it-IT"/>
        </w:rPr>
        <w:t></w:t>
      </w:r>
      <w:r w:rsidRPr="00A02C51">
        <w:rPr>
          <w:rFonts w:ascii="Garamond" w:hAnsi="Garamond"/>
          <w:bCs/>
        </w:rPr>
        <w:t xml:space="preserve"> non essersi reso colpevole di gravi illeciti professionali, tali da rendere dubbia la sua integrità o affidabilità (art. 80, co. 5, </w:t>
      </w:r>
      <w:proofErr w:type="spellStart"/>
      <w:r w:rsidRPr="00A02C51">
        <w:rPr>
          <w:rFonts w:ascii="Garamond" w:hAnsi="Garamond"/>
          <w:bCs/>
        </w:rPr>
        <w:t>lett</w:t>
      </w:r>
      <w:proofErr w:type="spellEnd"/>
      <w:r w:rsidRPr="00A02C51">
        <w:rPr>
          <w:rFonts w:ascii="Garamond" w:hAnsi="Garamond"/>
          <w:bCs/>
        </w:rPr>
        <w:t xml:space="preserve">. c del Codice). </w:t>
      </w:r>
    </w:p>
    <w:p w:rsidR="00A02C51" w:rsidRDefault="00A02C51" w:rsidP="00A02C51">
      <w:pPr>
        <w:ind w:left="720"/>
        <w:contextualSpacing/>
        <w:jc w:val="both"/>
        <w:rPr>
          <w:rFonts w:ascii="Garamond" w:hAnsi="Garamond"/>
          <w:bCs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15.1.5 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r w:rsidRPr="00A02C51">
        <w:rPr>
          <w:rFonts w:ascii="Garamond" w:eastAsia="Calibri" w:hAnsi="Garamond" w:cs="Times New Roman"/>
        </w:rPr>
        <w:t xml:space="preserve">dichiara di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</w:t>
      </w:r>
      <w:r w:rsidRPr="00A02C51">
        <w:rPr>
          <w:rFonts w:ascii="Garamond" w:eastAsia="Calibri" w:hAnsi="Garamond" w:cs="Times New Roman"/>
        </w:rPr>
        <w:lastRenderedPageBreak/>
        <w:t xml:space="preserve">selezione o l'aggiudicazione, ovvero abbia omesso le informazioni dovute ai fini del corretto svolgimento della procedura di selezione (art. 80, co. 5, </w:t>
      </w:r>
      <w:proofErr w:type="spellStart"/>
      <w:r w:rsidRPr="00A02C51">
        <w:rPr>
          <w:rFonts w:ascii="Garamond" w:eastAsia="Calibri" w:hAnsi="Garamond" w:cs="Times New Roman"/>
        </w:rPr>
        <w:t>lett</w:t>
      </w:r>
      <w:proofErr w:type="spellEnd"/>
      <w:r w:rsidRPr="00A02C51">
        <w:rPr>
          <w:rFonts w:ascii="Garamond" w:eastAsia="Calibri" w:hAnsi="Garamond" w:cs="Times New Roman"/>
        </w:rPr>
        <w:t>. c-bis del Codice);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hAnsi="Garamond"/>
          <w:bCs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15.1.6 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dichiara di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 w:rsidRPr="00A02C51">
        <w:rPr>
          <w:rFonts w:ascii="Garamond" w:eastAsia="Calibri" w:hAnsi="Garamond" w:cs="Times New Roman"/>
          <w:lang w:bidi="it-IT"/>
        </w:rPr>
        <w:t>lett</w:t>
      </w:r>
      <w:proofErr w:type="spellEnd"/>
      <w:r w:rsidRPr="00A02C51">
        <w:rPr>
          <w:rFonts w:ascii="Garamond" w:eastAsia="Calibri" w:hAnsi="Garamond" w:cs="Times New Roman"/>
          <w:lang w:bidi="it-IT"/>
        </w:rPr>
        <w:t xml:space="preserve">. c-ter del Codice). </w:t>
      </w:r>
      <w:r w:rsidRPr="00A02C51">
        <w:rPr>
          <w:rFonts w:ascii="Garamond" w:eastAsia="Calibri" w:hAnsi="Garamond" w:cs="Times New Roman"/>
          <w:u w:val="single"/>
          <w:lang w:bidi="it-IT"/>
        </w:rPr>
        <w:t>In caso affermativo</w:t>
      </w:r>
      <w:r w:rsidRPr="00A02C51">
        <w:rPr>
          <w:rFonts w:ascii="Garamond" w:eastAsia="Calibri" w:hAnsi="Garamond" w:cs="Times New Roman"/>
          <w:lang w:bidi="it-IT"/>
        </w:rPr>
        <w:t xml:space="preserve">, fornisce informazioni dettagliate da allegare al presente modello.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  <w:lang w:bidi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dichiara di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 w:rsidRPr="00A02C51">
        <w:rPr>
          <w:rFonts w:ascii="Garamond" w:eastAsia="Calibri" w:hAnsi="Garamond" w:cs="Times New Roman"/>
          <w:lang w:bidi="it-IT"/>
        </w:rPr>
        <w:t>lett</w:t>
      </w:r>
      <w:proofErr w:type="spellEnd"/>
      <w:r w:rsidRPr="00A02C51">
        <w:rPr>
          <w:rFonts w:ascii="Garamond" w:eastAsia="Calibri" w:hAnsi="Garamond" w:cs="Times New Roman"/>
          <w:lang w:bidi="it-IT"/>
        </w:rPr>
        <w:t xml:space="preserve">. c-ter del Codice). </w:t>
      </w:r>
    </w:p>
    <w:p w:rsidR="00A02C51" w:rsidRDefault="00A02C51" w:rsidP="00A02C51">
      <w:pPr>
        <w:contextualSpacing/>
        <w:jc w:val="both"/>
        <w:rPr>
          <w:rFonts w:ascii="Garamond" w:hAnsi="Garamond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15.1.</w:t>
      </w:r>
      <w:r w:rsidRPr="00A02C51">
        <w:rPr>
          <w:rFonts w:ascii="Garamond" w:eastAsia="Times New Roman" w:hAnsi="Garamond" w:cs="Times New Roman"/>
          <w:b/>
          <w:color w:val="4F81BD"/>
          <w:lang w:eastAsia="it-IT"/>
        </w:rPr>
        <w:t xml:space="preserve">7 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u w:val="single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essere a conoscenza di qualsiasi conflitto di interessi legato alla sua partecipazione alla procedura di appalto (art. 80, comma 5, </w:t>
      </w:r>
      <w:proofErr w:type="spellStart"/>
      <w:r w:rsidRPr="00A02C51">
        <w:rPr>
          <w:rFonts w:ascii="Garamond" w:eastAsia="Calibri" w:hAnsi="Garamond" w:cs="Times New Roman"/>
          <w:i/>
        </w:rPr>
        <w:t>lett</w:t>
      </w:r>
      <w:proofErr w:type="spellEnd"/>
      <w:r w:rsidRPr="00A02C51">
        <w:rPr>
          <w:rFonts w:ascii="Garamond" w:eastAsia="Calibri" w:hAnsi="Garamond" w:cs="Times New Roman"/>
          <w:i/>
        </w:rPr>
        <w:t>. d</w:t>
      </w:r>
      <w:r w:rsidRPr="00A02C51">
        <w:rPr>
          <w:rFonts w:ascii="Garamond" w:eastAsia="Calibri" w:hAnsi="Garamond" w:cs="Times New Roman"/>
        </w:rPr>
        <w:t xml:space="preserve">).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u w:val="single"/>
        </w:rPr>
        <w:t>In caso affermativo</w:t>
      </w:r>
      <w:r w:rsidRPr="00A02C51">
        <w:rPr>
          <w:rFonts w:ascii="Garamond" w:eastAsia="Calibri" w:hAnsi="Garamond" w:cs="Times New Roman"/>
        </w:rPr>
        <w:t>, fornisce informazioni dettagliate sulle modalità con cui è stato risolto il conflitto di interessi.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color w:val="FF0000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non essere a conoscenza di qualsiasi conflitto di interessi legato alla sua partecipazione alla procedura di appalto (art. 80, comma 5, </w:t>
      </w:r>
      <w:proofErr w:type="spellStart"/>
      <w:r w:rsidRPr="00A02C51">
        <w:rPr>
          <w:rFonts w:ascii="Garamond" w:eastAsia="Calibri" w:hAnsi="Garamond" w:cs="Times New Roman"/>
          <w:i/>
        </w:rPr>
        <w:t>lett</w:t>
      </w:r>
      <w:proofErr w:type="spellEnd"/>
      <w:r w:rsidRPr="00A02C51">
        <w:rPr>
          <w:rFonts w:ascii="Garamond" w:eastAsia="Calibri" w:hAnsi="Garamond" w:cs="Times New Roman"/>
          <w:i/>
        </w:rPr>
        <w:t>. d</w:t>
      </w:r>
      <w:r w:rsidRPr="00A02C51">
        <w:rPr>
          <w:rFonts w:ascii="Garamond" w:eastAsia="Calibri" w:hAnsi="Garamond" w:cs="Times New Roman"/>
        </w:rPr>
        <w:t>)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15.1</w:t>
      </w:r>
      <w:r w:rsidRPr="00A02C51">
        <w:rPr>
          <w:rFonts w:ascii="Garamond" w:eastAsia="Times New Roman" w:hAnsi="Garamond" w:cs="Times New Roman"/>
          <w:b/>
          <w:color w:val="4F81BD"/>
          <w:lang w:eastAsia="it-IT"/>
        </w:rPr>
        <w:t xml:space="preserve">.8 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essere soggetto alla sanzione </w:t>
      </w:r>
      <w:proofErr w:type="spellStart"/>
      <w:r w:rsidRPr="00A02C51">
        <w:rPr>
          <w:rFonts w:ascii="Garamond" w:eastAsia="Calibri" w:hAnsi="Garamond" w:cs="Times New Roman"/>
        </w:rPr>
        <w:t>interdittiva</w:t>
      </w:r>
      <w:proofErr w:type="spellEnd"/>
      <w:r w:rsidRPr="00A02C51">
        <w:rPr>
          <w:rFonts w:ascii="Garamond" w:eastAsia="Calibri" w:hAnsi="Garamond" w:cs="Times New Roman"/>
        </w:rPr>
        <w:t xml:space="preserve"> di cui all'</w:t>
      </w:r>
      <w:hyperlink r:id="rId16" w:anchor="09" w:history="1">
        <w:r w:rsidRPr="00A02C51">
          <w:rPr>
            <w:rFonts w:ascii="Garamond" w:eastAsia="Calibri" w:hAnsi="Garamond" w:cs="Times New Roman"/>
            <w:u w:val="single"/>
          </w:rPr>
          <w:t>articolo 9, comma 2, lettera c) del decreto legislativo 8 giugno 2001, n. 231</w:t>
        </w:r>
      </w:hyperlink>
      <w:r w:rsidRPr="00A02C51">
        <w:rPr>
          <w:rFonts w:ascii="Garamond" w:eastAsia="Calibri" w:hAnsi="Garamond" w:cs="Times New Roman"/>
        </w:rPr>
        <w:t xml:space="preserve"> o ad altra sanzione che comporta il divieto di contrarre con la pubblica amministrazione, compresi i provvedimenti </w:t>
      </w:r>
      <w:proofErr w:type="spellStart"/>
      <w:r w:rsidRPr="00A02C51">
        <w:rPr>
          <w:rFonts w:ascii="Garamond" w:eastAsia="Calibri" w:hAnsi="Garamond" w:cs="Times New Roman"/>
        </w:rPr>
        <w:t>interdittivi</w:t>
      </w:r>
      <w:proofErr w:type="spellEnd"/>
      <w:r w:rsidRPr="00A02C51">
        <w:rPr>
          <w:rFonts w:ascii="Garamond" w:eastAsia="Calibri" w:hAnsi="Garamond" w:cs="Times New Roman"/>
        </w:rPr>
        <w:t xml:space="preserve"> di cui all'</w:t>
      </w:r>
      <w:hyperlink r:id="rId17" w:anchor="014" w:history="1">
        <w:r w:rsidRPr="00A02C51">
          <w:rPr>
            <w:rFonts w:ascii="Garamond" w:eastAsia="Calibri" w:hAnsi="Garamond" w:cs="Times New Roman"/>
            <w:u w:val="single"/>
          </w:rPr>
          <w:t>articolo 14 del decreto legislativo 9 aprile 2008, n. 81</w:t>
        </w:r>
      </w:hyperlink>
      <w:r w:rsidRPr="00A02C51">
        <w:rPr>
          <w:rFonts w:ascii="Garamond" w:eastAsia="Calibri" w:hAnsi="Garamond" w:cs="Times New Roman"/>
        </w:rPr>
        <w:t xml:space="preserve"> (art. 80, comma 5, </w:t>
      </w:r>
      <w:proofErr w:type="spellStart"/>
      <w:r w:rsidRPr="00A02C51">
        <w:rPr>
          <w:rFonts w:ascii="Garamond" w:eastAsia="Calibri" w:hAnsi="Garamond" w:cs="Times New Roman"/>
          <w:i/>
        </w:rPr>
        <w:t>lett</w:t>
      </w:r>
      <w:proofErr w:type="spellEnd"/>
      <w:r w:rsidRPr="00A02C51">
        <w:rPr>
          <w:rFonts w:ascii="Garamond" w:eastAsia="Calibri" w:hAnsi="Garamond" w:cs="Times New Roman"/>
          <w:i/>
        </w:rPr>
        <w:t>. f</w:t>
      </w:r>
      <w:r w:rsidRPr="00A02C51">
        <w:rPr>
          <w:rFonts w:ascii="Garamond" w:eastAsia="Calibri" w:hAnsi="Garamond" w:cs="Times New Roman"/>
        </w:rPr>
        <w:t>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non essere soggetto alla sanzione </w:t>
      </w:r>
      <w:proofErr w:type="spellStart"/>
      <w:r w:rsidRPr="00A02C51">
        <w:rPr>
          <w:rFonts w:ascii="Garamond" w:eastAsia="Calibri" w:hAnsi="Garamond" w:cs="Times New Roman"/>
        </w:rPr>
        <w:t>interdittiva</w:t>
      </w:r>
      <w:proofErr w:type="spellEnd"/>
      <w:r w:rsidRPr="00A02C51">
        <w:rPr>
          <w:rFonts w:ascii="Garamond" w:eastAsia="Calibri" w:hAnsi="Garamond" w:cs="Times New Roman"/>
        </w:rPr>
        <w:t xml:space="preserve"> di cui all'</w:t>
      </w:r>
      <w:hyperlink r:id="rId18" w:anchor="09" w:history="1">
        <w:r w:rsidRPr="00A02C51">
          <w:rPr>
            <w:rFonts w:ascii="Garamond" w:eastAsia="Calibri" w:hAnsi="Garamond" w:cs="Times New Roman"/>
          </w:rPr>
          <w:t>articolo 9, comma 2, lettera c) del decreto legislativo 8 giugno 2001, n. 231</w:t>
        </w:r>
      </w:hyperlink>
      <w:r w:rsidRPr="00A02C51">
        <w:rPr>
          <w:rFonts w:ascii="Garamond" w:eastAsia="Calibri" w:hAnsi="Garamond" w:cs="Times New Roman"/>
        </w:rPr>
        <w:t xml:space="preserve"> o ad altra sanzione che comporta il divieto di contrarre con la pubblica amministrazione, compresi i provvedimenti </w:t>
      </w:r>
      <w:proofErr w:type="spellStart"/>
      <w:r w:rsidRPr="00A02C51">
        <w:rPr>
          <w:rFonts w:ascii="Garamond" w:eastAsia="Calibri" w:hAnsi="Garamond" w:cs="Times New Roman"/>
        </w:rPr>
        <w:t>interdittivi</w:t>
      </w:r>
      <w:proofErr w:type="spellEnd"/>
      <w:r w:rsidRPr="00A02C51">
        <w:rPr>
          <w:rFonts w:ascii="Garamond" w:eastAsia="Calibri" w:hAnsi="Garamond" w:cs="Times New Roman"/>
        </w:rPr>
        <w:t xml:space="preserve"> di cui all'</w:t>
      </w:r>
      <w:hyperlink r:id="rId19" w:anchor="014" w:history="1">
        <w:r w:rsidRPr="00A02C51">
          <w:rPr>
            <w:rFonts w:ascii="Garamond" w:eastAsia="Calibri" w:hAnsi="Garamond" w:cs="Times New Roman"/>
          </w:rPr>
          <w:t>articolo 14 del decreto legislativo 9 aprile 2008, n. 81</w:t>
        </w:r>
      </w:hyperlink>
      <w:r w:rsidRPr="00A02C51">
        <w:rPr>
          <w:rFonts w:ascii="Garamond" w:eastAsia="Calibri" w:hAnsi="Garamond" w:cs="Times New Roman"/>
        </w:rPr>
        <w:t xml:space="preserve"> (art. 80, comma 5, </w:t>
      </w:r>
      <w:proofErr w:type="spellStart"/>
      <w:r w:rsidRPr="00A02C51">
        <w:rPr>
          <w:rFonts w:ascii="Garamond" w:eastAsia="Calibri" w:hAnsi="Garamond" w:cs="Times New Roman"/>
          <w:i/>
        </w:rPr>
        <w:t>lett</w:t>
      </w:r>
      <w:proofErr w:type="spellEnd"/>
      <w:r w:rsidRPr="00A02C51">
        <w:rPr>
          <w:rFonts w:ascii="Garamond" w:eastAsia="Calibri" w:hAnsi="Garamond" w:cs="Times New Roman"/>
          <w:i/>
        </w:rPr>
        <w:t>. f)</w:t>
      </w:r>
      <w:r w:rsidRPr="00A02C51">
        <w:rPr>
          <w:rFonts w:ascii="Garamond" w:eastAsia="Calibri" w:hAnsi="Garamond" w:cs="Times New Roman"/>
        </w:rPr>
        <w:t>.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15.1.</w:t>
      </w:r>
      <w:r w:rsidRPr="00A02C51">
        <w:rPr>
          <w:rFonts w:ascii="Garamond" w:eastAsia="Times New Roman" w:hAnsi="Garamond" w:cs="Times New Roman"/>
          <w:b/>
          <w:color w:val="4F81BD"/>
          <w:lang w:eastAsia="it-IT"/>
        </w:rPr>
        <w:t>9</w:t>
      </w:r>
      <w:r w:rsidRPr="00A02C51">
        <w:rPr>
          <w:rFonts w:ascii="Garamond" w:eastAsia="Times New Roman" w:hAnsi="Garamond" w:cs="Times New Roman"/>
          <w:b/>
          <w:color w:val="FF0000"/>
          <w:lang w:eastAsia="it-IT"/>
        </w:rPr>
        <w:t xml:space="preserve"> 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A02C51">
        <w:rPr>
          <w:rFonts w:ascii="Garamond" w:eastAsia="Calibri" w:hAnsi="Garamond" w:cs="Times New Roman"/>
          <w:i/>
        </w:rPr>
        <w:t>lett</w:t>
      </w:r>
      <w:proofErr w:type="spellEnd"/>
      <w:r w:rsidRPr="00A02C51">
        <w:rPr>
          <w:rFonts w:ascii="Garamond" w:eastAsia="Calibri" w:hAnsi="Garamond" w:cs="Times New Roman"/>
          <w:i/>
        </w:rPr>
        <w:t>. f-bis</w:t>
      </w:r>
      <w:r w:rsidRPr="00A02C51">
        <w:rPr>
          <w:rFonts w:ascii="Garamond" w:eastAsia="Calibri" w:hAnsi="Garamond" w:cs="Times New Roman"/>
        </w:rPr>
        <w:t>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A02C51">
        <w:rPr>
          <w:rFonts w:ascii="Garamond" w:eastAsia="Calibri" w:hAnsi="Garamond" w:cs="Times New Roman"/>
          <w:i/>
        </w:rPr>
        <w:t>lett</w:t>
      </w:r>
      <w:proofErr w:type="spellEnd"/>
      <w:r w:rsidRPr="00A02C51">
        <w:rPr>
          <w:rFonts w:ascii="Garamond" w:eastAsia="Calibri" w:hAnsi="Garamond" w:cs="Times New Roman"/>
          <w:i/>
        </w:rPr>
        <w:t>. f-bis</w:t>
      </w:r>
      <w:r w:rsidRPr="00A02C51">
        <w:rPr>
          <w:rFonts w:ascii="Garamond" w:eastAsia="Calibri" w:hAnsi="Garamond" w:cs="Times New Roman"/>
        </w:rPr>
        <w:t>)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15.1.</w:t>
      </w:r>
      <w:r w:rsidRPr="00A02C51">
        <w:rPr>
          <w:rFonts w:ascii="Garamond" w:eastAsia="Times New Roman" w:hAnsi="Garamond" w:cs="Times New Roman"/>
          <w:b/>
          <w:color w:val="4F81BD"/>
          <w:lang w:eastAsia="it-IT"/>
        </w:rPr>
        <w:t>10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>essere</w:t>
      </w:r>
      <w:r w:rsidRPr="00A02C51">
        <w:rPr>
          <w:rFonts w:ascii="Garamond" w:eastAsia="Calibri" w:hAnsi="Garamond" w:cs="Times New Roman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A02C51">
        <w:rPr>
          <w:rFonts w:ascii="Garamond" w:eastAsia="Calibri" w:hAnsi="Garamond" w:cs="Times New Roman"/>
        </w:rPr>
        <w:t xml:space="preserve">(art. 80, comma 5, </w:t>
      </w:r>
      <w:proofErr w:type="spellStart"/>
      <w:r w:rsidRPr="00A02C51">
        <w:rPr>
          <w:rFonts w:ascii="Garamond" w:eastAsia="Calibri" w:hAnsi="Garamond" w:cs="Times New Roman"/>
          <w:i/>
        </w:rPr>
        <w:t>lett</w:t>
      </w:r>
      <w:proofErr w:type="spellEnd"/>
      <w:r w:rsidRPr="00A02C51">
        <w:rPr>
          <w:rFonts w:ascii="Garamond" w:eastAsia="Calibri" w:hAnsi="Garamond" w:cs="Times New Roman"/>
          <w:i/>
        </w:rPr>
        <w:t>. f-ter</w:t>
      </w:r>
      <w:r w:rsidRPr="00A02C51">
        <w:rPr>
          <w:rFonts w:ascii="Garamond" w:eastAsia="Calibri" w:hAnsi="Garamond" w:cs="Times New Roman"/>
        </w:rPr>
        <w:t>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i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>non essere</w:t>
      </w:r>
      <w:r w:rsidRPr="00A02C51">
        <w:rPr>
          <w:rFonts w:ascii="Garamond" w:eastAsia="Calibri" w:hAnsi="Garamond" w:cs="Times New Roman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A02C51">
        <w:rPr>
          <w:rFonts w:ascii="Garamond" w:eastAsia="Calibri" w:hAnsi="Garamond" w:cs="Times New Roman"/>
        </w:rPr>
        <w:t xml:space="preserve">(art. 80, comma 5, </w:t>
      </w:r>
      <w:proofErr w:type="spellStart"/>
      <w:r w:rsidRPr="00A02C51">
        <w:rPr>
          <w:rFonts w:ascii="Garamond" w:eastAsia="Calibri" w:hAnsi="Garamond" w:cs="Times New Roman"/>
          <w:i/>
        </w:rPr>
        <w:t>lett</w:t>
      </w:r>
      <w:proofErr w:type="spellEnd"/>
      <w:r w:rsidRPr="00A02C51">
        <w:rPr>
          <w:rFonts w:ascii="Garamond" w:eastAsia="Calibri" w:hAnsi="Garamond" w:cs="Times New Roman"/>
          <w:i/>
        </w:rPr>
        <w:t>. f-ter)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i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i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15.1.</w:t>
      </w:r>
      <w:r w:rsidRPr="00A02C51">
        <w:rPr>
          <w:rFonts w:ascii="Garamond" w:eastAsia="Times New Roman" w:hAnsi="Garamond" w:cs="Times New Roman"/>
          <w:b/>
          <w:color w:val="4F81BD"/>
          <w:lang w:eastAsia="it-IT"/>
        </w:rPr>
        <w:t>11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>aver violato il divieto di intestazione fiduciaria di cui all'articolo 17 della legge 19 marzo 1990, n. 55 (art. 80, comma 5,</w:t>
      </w:r>
      <w:r w:rsidRPr="00A02C51">
        <w:rPr>
          <w:rFonts w:ascii="Garamond" w:eastAsia="Calibri" w:hAnsi="Garamond" w:cs="Times New Roman"/>
          <w:i/>
        </w:rPr>
        <w:t xml:space="preserve"> </w:t>
      </w:r>
      <w:proofErr w:type="spellStart"/>
      <w:r w:rsidRPr="00A02C51">
        <w:rPr>
          <w:rFonts w:ascii="Garamond" w:eastAsia="Calibri" w:hAnsi="Garamond" w:cs="Times New Roman"/>
          <w:i/>
        </w:rPr>
        <w:t>lett</w:t>
      </w:r>
      <w:proofErr w:type="spellEnd"/>
      <w:r w:rsidRPr="00A02C51">
        <w:rPr>
          <w:rFonts w:ascii="Garamond" w:eastAsia="Calibri" w:hAnsi="Garamond" w:cs="Times New Roman"/>
          <w:i/>
        </w:rPr>
        <w:t>. h</w:t>
      </w:r>
      <w:r w:rsidRPr="00A02C51">
        <w:rPr>
          <w:rFonts w:ascii="Garamond" w:eastAsia="Calibri" w:hAnsi="Garamond" w:cs="Times New Roman"/>
        </w:rPr>
        <w:t>)</w:t>
      </w:r>
      <w:r w:rsidRPr="00A02C51">
        <w:rPr>
          <w:rFonts w:ascii="Garamond" w:eastAsia="Calibri" w:hAnsi="Garamond" w:cs="Times New Roman"/>
          <w:lang w:bidi="it-IT"/>
        </w:rPr>
        <w:t>.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u w:val="single"/>
          <w:lang w:bidi="it-IT"/>
        </w:rPr>
        <w:t>In caso affermativo</w:t>
      </w:r>
      <w:r w:rsidRPr="00A02C51">
        <w:rPr>
          <w:rFonts w:ascii="Garamond" w:eastAsia="Calibri" w:hAnsi="Garamond" w:cs="Times New Roman"/>
          <w:lang w:bidi="it-IT"/>
        </w:rPr>
        <w:t>,</w:t>
      </w:r>
      <w:r w:rsidRPr="00A02C51">
        <w:rPr>
          <w:rFonts w:ascii="Garamond" w:eastAsia="Calibri" w:hAnsi="Garamond" w:cs="Times New Roman"/>
        </w:rPr>
        <w:t xml:space="preserve"> indica la data dell’accertamento definitivo e l’autorità o organismo di emanazione e se la violazione è stata rimossa.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non aver violato il divieto di intestazione fiduciaria di cui all'articolo 17 della legge 19 marzo 1990, n. 55 (art. 80, comma 5, </w:t>
      </w:r>
      <w:proofErr w:type="spellStart"/>
      <w:r w:rsidRPr="00A02C51">
        <w:rPr>
          <w:rFonts w:ascii="Garamond" w:eastAsia="Calibri" w:hAnsi="Garamond" w:cs="Times New Roman"/>
          <w:i/>
        </w:rPr>
        <w:t>lett</w:t>
      </w:r>
      <w:proofErr w:type="spellEnd"/>
      <w:r w:rsidRPr="00A02C51">
        <w:rPr>
          <w:rFonts w:ascii="Garamond" w:eastAsia="Calibri" w:hAnsi="Garamond" w:cs="Times New Roman"/>
          <w:i/>
        </w:rPr>
        <w:t>. h</w:t>
      </w:r>
      <w:r w:rsidRPr="00A02C51">
        <w:rPr>
          <w:rFonts w:ascii="Garamond" w:eastAsia="Calibri" w:hAnsi="Garamond" w:cs="Times New Roman"/>
        </w:rPr>
        <w:t>).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15.1.12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che: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ricorrono i casi previsti all’articolo 4, primo comma, della Legge 24 novembre 1981, n. 689 (art. 80, comma 5, </w:t>
      </w:r>
      <w:proofErr w:type="spellStart"/>
      <w:r w:rsidRPr="00A02C51">
        <w:rPr>
          <w:rFonts w:ascii="Garamond" w:eastAsia="Calibri" w:hAnsi="Garamond" w:cs="Times New Roman"/>
          <w:i/>
        </w:rPr>
        <w:t>lett</w:t>
      </w:r>
      <w:proofErr w:type="spellEnd"/>
      <w:r w:rsidRPr="00A02C51">
        <w:rPr>
          <w:rFonts w:ascii="Garamond" w:eastAsia="Calibri" w:hAnsi="Garamond" w:cs="Times New Roman"/>
          <w:i/>
        </w:rPr>
        <w:t>. l</w:t>
      </w:r>
      <w:r w:rsidRPr="00A02C51">
        <w:rPr>
          <w:rFonts w:ascii="Garamond" w:eastAsia="Calibri" w:hAnsi="Garamond" w:cs="Times New Roman"/>
        </w:rPr>
        <w:t>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color w:val="FF0000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non ricorrono i casi previsti all’articolo 4, primo comma, della Legge 24 novembre 1981, n. 689 (art. 80, comma 5, </w:t>
      </w:r>
      <w:proofErr w:type="spellStart"/>
      <w:r w:rsidRPr="00A02C51">
        <w:rPr>
          <w:rFonts w:ascii="Garamond" w:eastAsia="Calibri" w:hAnsi="Garamond" w:cs="Times New Roman"/>
          <w:i/>
        </w:rPr>
        <w:t>lett</w:t>
      </w:r>
      <w:proofErr w:type="spellEnd"/>
      <w:r w:rsidRPr="00A02C51">
        <w:rPr>
          <w:rFonts w:ascii="Garamond" w:eastAsia="Calibri" w:hAnsi="Garamond" w:cs="Times New Roman"/>
          <w:i/>
        </w:rPr>
        <w:t>. l</w:t>
      </w:r>
      <w:r w:rsidRPr="00A02C51">
        <w:rPr>
          <w:rFonts w:ascii="Garamond" w:eastAsia="Calibri" w:hAnsi="Garamond" w:cs="Times New Roman"/>
        </w:rPr>
        <w:t>)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rPr>
          <w:rFonts w:ascii="Garamond" w:eastAsia="Calibri" w:hAnsi="Garamond" w:cs="Times New Roman"/>
          <w:color w:val="0070C0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15.1.13 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trovarsi </w:t>
      </w:r>
      <w:r w:rsidRPr="00A02C51">
        <w:rPr>
          <w:rFonts w:ascii="Garamond" w:eastAsia="Calibri" w:hAnsi="Garamond" w:cs="Times New Roman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Pr="00A02C51">
          <w:rPr>
            <w:rFonts w:ascii="Garamond" w:eastAsia="Calibri" w:hAnsi="Garamond" w:cs="Times New Roman"/>
            <w:u w:val="single"/>
            <w:lang w:bidi="it-IT"/>
          </w:rPr>
          <w:t>articolo 2359 del codice civile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A02C51">
        <w:rPr>
          <w:rFonts w:ascii="Garamond" w:eastAsia="Calibri" w:hAnsi="Garamond" w:cs="Times New Roman"/>
          <w:i/>
          <w:lang w:bidi="it-IT"/>
        </w:rPr>
        <w:t>lett</w:t>
      </w:r>
      <w:proofErr w:type="spellEnd"/>
      <w:r w:rsidRPr="00A02C51">
        <w:rPr>
          <w:rFonts w:ascii="Garamond" w:eastAsia="Calibri" w:hAnsi="Garamond" w:cs="Times New Roman"/>
          <w:i/>
          <w:lang w:bidi="it-IT"/>
        </w:rPr>
        <w:t>. m</w:t>
      </w:r>
      <w:r w:rsidRPr="00A02C51">
        <w:rPr>
          <w:rFonts w:ascii="Garamond" w:eastAsia="Calibri" w:hAnsi="Garamond" w:cs="Times New Roman"/>
          <w:lang w:bidi="it-IT"/>
        </w:rPr>
        <w:t>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non trovarsi </w:t>
      </w:r>
      <w:r w:rsidRPr="00A02C51">
        <w:rPr>
          <w:rFonts w:ascii="Garamond" w:eastAsia="Calibri" w:hAnsi="Garamond" w:cs="Times New Roman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A02C51">
          <w:rPr>
            <w:rFonts w:ascii="Garamond" w:eastAsia="Calibri" w:hAnsi="Garamond" w:cs="Times New Roman"/>
            <w:u w:val="single"/>
            <w:lang w:bidi="it-IT"/>
          </w:rPr>
          <w:t>articolo 2359 del codice civile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A02C51">
        <w:rPr>
          <w:rFonts w:ascii="Garamond" w:eastAsia="Calibri" w:hAnsi="Garamond" w:cs="Times New Roman"/>
          <w:i/>
          <w:lang w:bidi="it-IT"/>
        </w:rPr>
        <w:t>lett</w:t>
      </w:r>
      <w:proofErr w:type="spellEnd"/>
      <w:r w:rsidRPr="00A02C51">
        <w:rPr>
          <w:rFonts w:ascii="Garamond" w:eastAsia="Calibri" w:hAnsi="Garamond" w:cs="Times New Roman"/>
          <w:i/>
          <w:lang w:bidi="it-IT"/>
        </w:rPr>
        <w:t>. m</w:t>
      </w:r>
      <w:r w:rsidRPr="00A02C51">
        <w:rPr>
          <w:rFonts w:ascii="Garamond" w:eastAsia="Calibri" w:hAnsi="Garamond" w:cs="Times New Roman"/>
          <w:lang w:bidi="it-IT"/>
        </w:rPr>
        <w:t>)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15.1.14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trovarsi </w:t>
      </w:r>
      <w:r w:rsidRPr="00A02C51">
        <w:rPr>
          <w:rFonts w:ascii="Garamond" w:eastAsia="Calibri" w:hAnsi="Garamond" w:cs="Times New Roman"/>
          <w:lang w:bidi="it-IT"/>
        </w:rPr>
        <w:t xml:space="preserve">nella condizione prevista dall’art. 53 comma 16-ter del D.lgs. 165/2001 </w:t>
      </w:r>
      <w:r w:rsidRPr="00A02C51">
        <w:rPr>
          <w:rFonts w:ascii="Garamond" w:eastAsia="Calibri" w:hAnsi="Garamond" w:cs="Times New Roman"/>
          <w:i/>
          <w:lang w:bidi="it-IT"/>
        </w:rPr>
        <w:t>(</w:t>
      </w:r>
      <w:proofErr w:type="spellStart"/>
      <w:r w:rsidRPr="00A02C51">
        <w:rPr>
          <w:rFonts w:ascii="Garamond" w:eastAsia="Calibri" w:hAnsi="Garamond" w:cs="Times New Roman"/>
          <w:i/>
          <w:lang w:bidi="it-IT"/>
        </w:rPr>
        <w:t>pantouflage</w:t>
      </w:r>
      <w:proofErr w:type="spellEnd"/>
      <w:r w:rsidRPr="00A02C51">
        <w:rPr>
          <w:rFonts w:ascii="Garamond" w:eastAsia="Calibri" w:hAnsi="Garamond" w:cs="Times New Roman"/>
          <w:i/>
          <w:lang w:bidi="it-IT"/>
        </w:rPr>
        <w:t xml:space="preserve"> o revolving door)</w:t>
      </w:r>
      <w:r w:rsidRPr="00A02C51">
        <w:rPr>
          <w:rFonts w:ascii="Garamond" w:eastAsia="Calibri" w:hAnsi="Garamond" w:cs="Times New Roman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non trovarsi </w:t>
      </w:r>
      <w:r w:rsidRPr="00A02C51">
        <w:rPr>
          <w:rFonts w:ascii="Garamond" w:eastAsia="Calibri" w:hAnsi="Garamond" w:cs="Times New Roman"/>
          <w:lang w:bidi="it-IT"/>
        </w:rPr>
        <w:t xml:space="preserve">nella condizione prevista dall’art. 53 comma 16-ter del D.lgs. 165/2001 </w:t>
      </w:r>
      <w:r w:rsidRPr="00A02C51">
        <w:rPr>
          <w:rFonts w:ascii="Garamond" w:eastAsia="Calibri" w:hAnsi="Garamond" w:cs="Times New Roman"/>
          <w:i/>
          <w:lang w:bidi="it-IT"/>
        </w:rPr>
        <w:t>(</w:t>
      </w:r>
      <w:proofErr w:type="spellStart"/>
      <w:r w:rsidRPr="00A02C51">
        <w:rPr>
          <w:rFonts w:ascii="Garamond" w:eastAsia="Calibri" w:hAnsi="Garamond" w:cs="Times New Roman"/>
          <w:i/>
          <w:lang w:bidi="it-IT"/>
        </w:rPr>
        <w:t>pantouflage</w:t>
      </w:r>
      <w:proofErr w:type="spellEnd"/>
      <w:r w:rsidRPr="00A02C51">
        <w:rPr>
          <w:rFonts w:ascii="Garamond" w:eastAsia="Calibri" w:hAnsi="Garamond" w:cs="Times New Roman"/>
          <w:i/>
          <w:lang w:bidi="it-IT"/>
        </w:rPr>
        <w:t xml:space="preserve"> o</w:t>
      </w:r>
      <w:r w:rsidRPr="00A02C51">
        <w:rPr>
          <w:rFonts w:ascii="Garamond" w:eastAsia="Calibri" w:hAnsi="Garamond" w:cs="Times New Roman"/>
          <w:lang w:bidi="it-IT"/>
        </w:rPr>
        <w:t xml:space="preserve"> </w:t>
      </w:r>
      <w:r w:rsidRPr="00A02C51">
        <w:rPr>
          <w:rFonts w:ascii="Garamond" w:eastAsia="Calibri" w:hAnsi="Garamond" w:cs="Times New Roman"/>
          <w:i/>
          <w:lang w:bidi="it-IT"/>
        </w:rPr>
        <w:t>revolving door)</w:t>
      </w:r>
      <w:r w:rsidRPr="00A02C51">
        <w:rPr>
          <w:rFonts w:ascii="Garamond" w:eastAsia="Calibri" w:hAnsi="Garamond" w:cs="Times New Roman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B3A3D"/>
    <w:rsid w:val="001113CC"/>
    <w:rsid w:val="001724D3"/>
    <w:rsid w:val="001A25F9"/>
    <w:rsid w:val="003C2DC2"/>
    <w:rsid w:val="0050478F"/>
    <w:rsid w:val="005905D8"/>
    <w:rsid w:val="006507A8"/>
    <w:rsid w:val="00764E17"/>
    <w:rsid w:val="007816A6"/>
    <w:rsid w:val="008A58F3"/>
    <w:rsid w:val="00904A55"/>
    <w:rsid w:val="00987C53"/>
    <w:rsid w:val="009B03C5"/>
    <w:rsid w:val="009D463B"/>
    <w:rsid w:val="009F1A90"/>
    <w:rsid w:val="00A02C51"/>
    <w:rsid w:val="00A24D6E"/>
    <w:rsid w:val="00B02FBE"/>
    <w:rsid w:val="00B2667C"/>
    <w:rsid w:val="00B80F43"/>
    <w:rsid w:val="00BD19F4"/>
    <w:rsid w:val="00C83D8A"/>
    <w:rsid w:val="00DC2CC6"/>
    <w:rsid w:val="00E33BDE"/>
    <w:rsid w:val="00E6077A"/>
    <w:rsid w:val="00EB15DF"/>
    <w:rsid w:val="00F05493"/>
    <w:rsid w:val="00F11E70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ENRICO  BARBARA</cp:lastModifiedBy>
  <cp:revision>39</cp:revision>
  <dcterms:created xsi:type="dcterms:W3CDTF">2018-05-17T12:43:00Z</dcterms:created>
  <dcterms:modified xsi:type="dcterms:W3CDTF">2019-04-11T09:02:00Z</dcterms:modified>
</cp:coreProperties>
</file>