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Relazione Tecnica </w:t>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r w:rsidRPr="00B30486">
        <w:rPr>
          <w:rFonts w:ascii="Garamond" w:eastAsia="Calibri" w:hAnsi="Garamond" w:cs="Times New Roman"/>
          <w:b/>
          <w:lang w:eastAsia="it-IT"/>
        </w:rPr>
        <w:t>Spett. le Politecnico di Torino</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Area AQUI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 xml:space="preserve">                                                                                                           </w:t>
      </w:r>
      <w:r w:rsidR="009270A1">
        <w:rPr>
          <w:rFonts w:ascii="Garamond" w:eastAsia="Calibri" w:hAnsi="Garamond" w:cs="Times New Roman"/>
          <w:b/>
          <w:lang w:eastAsia="it-IT"/>
        </w:rPr>
        <w:t xml:space="preserve">                         </w:t>
      </w:r>
      <w:r w:rsidR="009270A1">
        <w:rPr>
          <w:rFonts w:ascii="Garamond" w:eastAsia="Calibri" w:hAnsi="Garamond" w:cs="Times New Roman"/>
          <w:b/>
          <w:lang w:eastAsia="it-IT"/>
        </w:rPr>
        <w:tab/>
        <w:t xml:space="preserve"> </w:t>
      </w:r>
      <w:r w:rsidRPr="00B30486">
        <w:rPr>
          <w:rFonts w:ascii="Garamond" w:eastAsia="Calibri" w:hAnsi="Garamond" w:cs="Times New Roman"/>
          <w:b/>
          <w:lang w:eastAsia="it-IT"/>
        </w:rPr>
        <w:t>Ufficio Appalti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b/>
          <w:lang w:eastAsia="it-IT"/>
        </w:rPr>
        <w:tab/>
        <w:t xml:space="preserve">                              10129 – Torino</w:t>
      </w:r>
    </w:p>
    <w:p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rsidR="00B30486" w:rsidRDefault="00B30486" w:rsidP="001A50FD">
      <w:pPr>
        <w:keepNext/>
        <w:spacing w:before="300" w:after="120" w:line="240" w:lineRule="auto"/>
        <w:jc w:val="both"/>
        <w:outlineLvl w:val="0"/>
        <w:rPr>
          <w:rFonts w:ascii="Garamond" w:eastAsia="Times New Roman" w:hAnsi="Garamond" w:cs="Calibri"/>
          <w:b/>
          <w:bCs/>
          <w:iCs/>
          <w:lang w:eastAsia="it-IT"/>
        </w:rPr>
      </w:pPr>
      <w:r w:rsidRPr="00B30486">
        <w:rPr>
          <w:rFonts w:ascii="Garamond" w:eastAsia="Times New Roman" w:hAnsi="Garamond" w:cs="Times New Roman"/>
          <w:b/>
          <w:bCs/>
          <w:lang w:eastAsia="it-IT"/>
        </w:rPr>
        <w:t>Oggetto:</w:t>
      </w:r>
      <w:r w:rsidRPr="00B30486">
        <w:rPr>
          <w:rFonts w:ascii="Garamond" w:eastAsia="Times New Roman" w:hAnsi="Garamond" w:cs="Times New Roman"/>
          <w:lang w:eastAsia="it-IT"/>
        </w:rPr>
        <w:t xml:space="preserve"> </w:t>
      </w:r>
      <w:r w:rsidRPr="00B30486">
        <w:rPr>
          <w:rFonts w:ascii="Garamond" w:eastAsia="Times New Roman" w:hAnsi="Garamond" w:cs="Calibri"/>
          <w:b/>
          <w:lang w:eastAsia="it-IT"/>
        </w:rPr>
        <w:t xml:space="preserve">Procedura aperta ai sensi dell’art. 60, D.lgs. 50/2016 e </w:t>
      </w:r>
      <w:proofErr w:type="spellStart"/>
      <w:r w:rsidRPr="00B30486">
        <w:rPr>
          <w:rFonts w:ascii="Garamond" w:eastAsia="Times New Roman" w:hAnsi="Garamond" w:cs="Calibri"/>
          <w:b/>
          <w:lang w:eastAsia="it-IT"/>
        </w:rPr>
        <w:t>ss.mm.ii</w:t>
      </w:r>
      <w:proofErr w:type="spellEnd"/>
      <w:r w:rsidRPr="00B30486">
        <w:rPr>
          <w:rFonts w:ascii="Garamond" w:eastAsia="Times New Roman" w:hAnsi="Garamond" w:cs="Calibri"/>
          <w:b/>
          <w:lang w:eastAsia="it-IT"/>
        </w:rPr>
        <w:t xml:space="preserve">. </w:t>
      </w:r>
      <w:r w:rsidR="004743FB" w:rsidRPr="004743FB">
        <w:rPr>
          <w:rFonts w:ascii="Garamond" w:eastAsia="Times New Roman" w:hAnsi="Garamond" w:cs="Calibri"/>
          <w:b/>
          <w:lang w:eastAsia="it-IT"/>
        </w:rPr>
        <w:t>per l’affidamento del</w:t>
      </w:r>
      <w:r w:rsidR="004743FB" w:rsidRPr="004743FB">
        <w:rPr>
          <w:rFonts w:ascii="Garamond" w:eastAsia="Times New Roman" w:hAnsi="Garamond" w:cs="Calibri"/>
          <w:b/>
          <w:bCs/>
          <w:iCs/>
          <w:lang w:eastAsia="it-IT"/>
        </w:rPr>
        <w:t xml:space="preserve">la </w:t>
      </w:r>
      <w:r w:rsidR="00A94AD7" w:rsidRPr="00A94AD7">
        <w:rPr>
          <w:rFonts w:ascii="Garamond" w:eastAsia="Times New Roman" w:hAnsi="Garamond" w:cs="Calibri"/>
          <w:b/>
          <w:bCs/>
          <w:iCs/>
          <w:lang w:eastAsia="it-IT"/>
        </w:rPr>
        <w:t xml:space="preserve">fornitura di </w:t>
      </w:r>
    </w:p>
    <w:p w:rsidR="00010310" w:rsidRPr="009270A1" w:rsidRDefault="00010310" w:rsidP="00010310">
      <w:pPr>
        <w:keepNext/>
        <w:spacing w:before="300" w:after="120" w:line="240" w:lineRule="auto"/>
        <w:jc w:val="both"/>
        <w:outlineLvl w:val="0"/>
        <w:rPr>
          <w:rFonts w:ascii="Garamond" w:eastAsia="Times New Roman" w:hAnsi="Garamond" w:cs="Calibri"/>
          <w:lang w:eastAsia="it-IT"/>
        </w:rPr>
      </w:pPr>
      <w:r w:rsidRPr="00C11C51">
        <w:rPr>
          <w:rFonts w:ascii="Garamond" w:eastAsia="Times New Roman" w:hAnsi="Garamond" w:cs="Calibri"/>
          <w:b/>
          <w:u w:val="single"/>
          <w:lang w:eastAsia="it-IT"/>
        </w:rPr>
        <w:t>Lotto 6 - Simulatore real-time per sistemi elett</w:t>
      </w:r>
      <w:r w:rsidR="009270A1" w:rsidRPr="00C11C51">
        <w:rPr>
          <w:rFonts w:ascii="Garamond" w:eastAsia="Times New Roman" w:hAnsi="Garamond" w:cs="Calibri"/>
          <w:b/>
          <w:u w:val="single"/>
          <w:lang w:eastAsia="it-IT"/>
        </w:rPr>
        <w:t>rici da installare presso EC-L</w:t>
      </w:r>
      <w:r w:rsidR="009270A1">
        <w:rPr>
          <w:rFonts w:ascii="Garamond" w:eastAsia="Times New Roman" w:hAnsi="Garamond" w:cs="Calibri"/>
          <w:b/>
          <w:lang w:eastAsia="it-IT"/>
        </w:rPr>
        <w:t xml:space="preserve"> </w:t>
      </w:r>
      <w:r w:rsidR="00A072ED" w:rsidRPr="009270A1">
        <w:rPr>
          <w:rFonts w:ascii="Garamond" w:eastAsia="Times New Roman" w:hAnsi="Garamond" w:cs="Calibri"/>
          <w:lang w:eastAsia="it-IT"/>
        </w:rPr>
        <w:t xml:space="preserve">- </w:t>
      </w:r>
      <w:r w:rsidR="00A072ED" w:rsidRPr="009270A1">
        <w:rPr>
          <w:rFonts w:ascii="Garamond" w:eastAsia="Times New Roman" w:hAnsi="Garamond" w:cs="Calibri"/>
          <w:bCs/>
          <w:iCs/>
          <w:lang w:eastAsia="it-IT"/>
        </w:rPr>
        <w:t>CIG 7663632530 - CUP E15D1800043007</w:t>
      </w:r>
    </w:p>
    <w:p w:rsidR="00CC7A5E" w:rsidRPr="000C6D28" w:rsidRDefault="00CC7A5E" w:rsidP="00CC7A5E">
      <w:pPr>
        <w:widowControl w:val="0"/>
        <w:tabs>
          <w:tab w:val="right" w:leader="underscore" w:pos="9648"/>
        </w:tabs>
        <w:spacing w:after="0" w:line="360" w:lineRule="auto"/>
        <w:rPr>
          <w:rFonts w:ascii="Times New Roman" w:eastAsia="Calibri" w:hAnsi="Times New Roman" w:cs="Times New Roman"/>
          <w:lang w:eastAsia="it-IT"/>
        </w:rPr>
      </w:pP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 società ____________________________________________________________________________</w:t>
      </w:r>
      <w:r w:rsidR="002A3C6E">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 xml:space="preserve">fax _______________ </w:t>
      </w:r>
      <w:proofErr w:type="spellStart"/>
      <w:r w:rsidR="002A3C6E">
        <w:rPr>
          <w:rFonts w:ascii="Garamond" w:eastAsia="Calibri" w:hAnsi="Garamond" w:cs="Times New Roman"/>
          <w:lang w:eastAsia="it-IT"/>
        </w:rPr>
        <w:t>cell</w:t>
      </w:r>
      <w:proofErr w:type="spellEnd"/>
      <w:r w:rsidR="002A3C6E">
        <w:rPr>
          <w:rFonts w:ascii="Garamond" w:eastAsia="Calibri" w:hAnsi="Garamond" w:cs="Times New Roman"/>
          <w:lang w:eastAsia="it-IT"/>
        </w:rPr>
        <w:t>.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rsidR="000F6200" w:rsidRDefault="000F6200" w:rsidP="000F6200">
      <w:pPr>
        <w:widowControl w:val="0"/>
        <w:tabs>
          <w:tab w:val="right" w:leader="underscore" w:pos="9600"/>
        </w:tabs>
        <w:spacing w:after="0" w:line="360" w:lineRule="auto"/>
        <w:rPr>
          <w:rFonts w:ascii="Garamond" w:eastAsia="Calibri" w:hAnsi="Garamond" w:cs="Times New Roman"/>
          <w:lang w:eastAsia="it-IT"/>
        </w:rPr>
      </w:pPr>
    </w:p>
    <w:p w:rsidR="00FC20B8" w:rsidRPr="0093385B" w:rsidRDefault="00FC20B8" w:rsidP="00FC20B8">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Al fine di concorrere all’aggiudicazione del contratto per l’affidamento della fornitura indicata in oggetto, formula la seguente offerta tecnica.</w:t>
      </w:r>
    </w:p>
    <w:p w:rsidR="00FC20B8" w:rsidRPr="00D81E70" w:rsidRDefault="00FC20B8" w:rsidP="00FC20B8">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riferimento alla pagina della scheda tecnica da cui poter evincere la presenza dell’elemento tecnico minimo richiesto.</w:t>
      </w:r>
    </w:p>
    <w:p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p>
    <w:p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Tabella 1</w:t>
      </w:r>
    </w:p>
    <w:tbl>
      <w:tblPr>
        <w:tblStyle w:val="Grigliatabella1"/>
        <w:tblW w:w="9782" w:type="dxa"/>
        <w:tblInd w:w="-176" w:type="dxa"/>
        <w:tblLayout w:type="fixed"/>
        <w:tblLook w:val="04A0" w:firstRow="1" w:lastRow="0" w:firstColumn="1" w:lastColumn="0" w:noHBand="0" w:noVBand="1"/>
      </w:tblPr>
      <w:tblGrid>
        <w:gridCol w:w="423"/>
        <w:gridCol w:w="4681"/>
        <w:gridCol w:w="1416"/>
        <w:gridCol w:w="3262"/>
      </w:tblGrid>
      <w:tr w:rsidR="00A072ED" w:rsidRPr="00F51AA0" w:rsidTr="00D01D6B">
        <w:trPr>
          <w:trHeight w:val="850"/>
        </w:trPr>
        <w:tc>
          <w:tcPr>
            <w:tcW w:w="5104" w:type="dxa"/>
            <w:gridSpan w:val="2"/>
            <w:shd w:val="clear" w:color="auto" w:fill="D9D9D9" w:themeFill="background1" w:themeFillShade="D9"/>
          </w:tcPr>
          <w:p w:rsidR="00A072ED" w:rsidRPr="00F51AA0" w:rsidRDefault="00A072ED" w:rsidP="00CE5679">
            <w:pPr>
              <w:widowControl w:val="0"/>
              <w:tabs>
                <w:tab w:val="right" w:leader="underscore" w:pos="9600"/>
              </w:tabs>
              <w:spacing w:line="360" w:lineRule="auto"/>
              <w:jc w:val="center"/>
              <w:rPr>
                <w:rFonts w:ascii="Garamond" w:eastAsia="Calibri" w:hAnsi="Garamond"/>
                <w:b/>
              </w:rPr>
            </w:pPr>
          </w:p>
          <w:p w:rsidR="00A072ED" w:rsidRPr="00F51AA0" w:rsidRDefault="00A072ED" w:rsidP="00CE5679">
            <w:pPr>
              <w:widowControl w:val="0"/>
              <w:tabs>
                <w:tab w:val="right" w:leader="underscore" w:pos="9600"/>
              </w:tabs>
              <w:spacing w:line="360" w:lineRule="auto"/>
              <w:jc w:val="center"/>
              <w:rPr>
                <w:rFonts w:ascii="Garamond" w:eastAsia="Calibri" w:hAnsi="Garamond"/>
                <w:b/>
              </w:rPr>
            </w:pPr>
            <w:r w:rsidRPr="00F51AA0">
              <w:rPr>
                <w:rFonts w:ascii="Garamond" w:eastAsia="Calibri" w:hAnsi="Garamond"/>
                <w:b/>
              </w:rPr>
              <w:t>ELEMENTI TECNICI MINIMI A PENA DI ESCLUSIONE</w:t>
            </w:r>
          </w:p>
        </w:tc>
        <w:tc>
          <w:tcPr>
            <w:tcW w:w="1416" w:type="dxa"/>
            <w:shd w:val="clear" w:color="auto" w:fill="D9D9D9" w:themeFill="background1" w:themeFillShade="D9"/>
          </w:tcPr>
          <w:p w:rsidR="00A072ED" w:rsidRPr="00F51AA0" w:rsidRDefault="00A072ED" w:rsidP="00CE5679">
            <w:pPr>
              <w:widowControl w:val="0"/>
              <w:tabs>
                <w:tab w:val="right" w:leader="underscore" w:pos="9600"/>
              </w:tabs>
              <w:spacing w:line="360" w:lineRule="auto"/>
              <w:rPr>
                <w:rFonts w:ascii="Garamond" w:eastAsia="Calibri" w:hAnsi="Garamond"/>
                <w:b/>
              </w:rPr>
            </w:pPr>
          </w:p>
          <w:p w:rsidR="00A072ED" w:rsidRPr="00F51AA0" w:rsidRDefault="00A072ED" w:rsidP="00CE5679">
            <w:pPr>
              <w:widowControl w:val="0"/>
              <w:tabs>
                <w:tab w:val="right" w:leader="underscore" w:pos="9600"/>
              </w:tabs>
              <w:spacing w:line="360" w:lineRule="auto"/>
              <w:rPr>
                <w:rFonts w:ascii="Garamond" w:eastAsia="Calibri" w:hAnsi="Garamond"/>
                <w:b/>
              </w:rPr>
            </w:pPr>
            <w:r w:rsidRPr="00F51AA0">
              <w:rPr>
                <w:rFonts w:ascii="Garamond" w:eastAsia="Calibri" w:hAnsi="Garamond"/>
                <w:b/>
              </w:rPr>
              <w:t>Note (eventuali)</w:t>
            </w:r>
          </w:p>
        </w:tc>
        <w:tc>
          <w:tcPr>
            <w:tcW w:w="3262" w:type="dxa"/>
            <w:shd w:val="clear" w:color="auto" w:fill="D9D9D9" w:themeFill="background1" w:themeFillShade="D9"/>
          </w:tcPr>
          <w:p w:rsidR="00A072ED" w:rsidRPr="00F51AA0" w:rsidRDefault="00A072ED" w:rsidP="00A17800">
            <w:pPr>
              <w:widowControl w:val="0"/>
              <w:tabs>
                <w:tab w:val="right" w:leader="underscore" w:pos="9600"/>
              </w:tabs>
              <w:spacing w:line="360" w:lineRule="auto"/>
              <w:jc w:val="both"/>
              <w:rPr>
                <w:rFonts w:ascii="Garamond" w:eastAsia="Calibri" w:hAnsi="Garamond"/>
              </w:rPr>
            </w:pPr>
            <w:bookmarkStart w:id="0" w:name="_GoBack"/>
            <w:r w:rsidRPr="00F51AA0">
              <w:rPr>
                <w:rFonts w:ascii="Garamond" w:eastAsia="Calibri" w:hAnsi="Garamond"/>
                <w:b/>
                <w:bCs/>
              </w:rPr>
              <w:t>N. pagina</w:t>
            </w:r>
            <w:r w:rsidRPr="00F51AA0">
              <w:rPr>
                <w:rFonts w:ascii="Garamond" w:eastAsia="Calibri" w:hAnsi="Garamond"/>
              </w:rPr>
              <w:t xml:space="preserve"> </w:t>
            </w:r>
            <w:r w:rsidRPr="00F51AA0">
              <w:rPr>
                <w:rFonts w:ascii="Garamond" w:eastAsia="Calibri" w:hAnsi="Garamond"/>
                <w:b/>
                <w:bCs/>
              </w:rPr>
              <w:t>della scheda tecnica dalla quale si evinca la</w:t>
            </w:r>
            <w:r w:rsidR="00D01D6B">
              <w:rPr>
                <w:rFonts w:ascii="Garamond" w:eastAsia="Calibri" w:hAnsi="Garamond"/>
                <w:b/>
                <w:bCs/>
              </w:rPr>
              <w:t xml:space="preserve"> presenza dell'elemento minimo</w:t>
            </w:r>
            <w:bookmarkEnd w:id="0"/>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capacità di effettuare simulazioni continue di transitori in real-time (frequenze da DC a 3kHz)</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lastRenderedPageBreak/>
              <w:t>2</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possibilità di simulare sottosistemi con 300 nodi monofase senza elementi di disaccoppiamento all'interno del sottosistema; elementi con ammettenza variabile con continuità devono essere ammessi in corrispondenza di ogni nodo e fra ogni coppia di nodi. Deve essere anche possibile inserire liberamente fino a 300 interruttori resistivi monofase simultaneamente fra qualunq</w:t>
            </w:r>
            <w:r w:rsidR="00B60DF0" w:rsidRPr="004C47A3">
              <w:rPr>
                <w:rFonts w:ascii="Garamond" w:hAnsi="Garamond"/>
                <w:lang w:eastAsia="ar-SA"/>
              </w:rPr>
              <w:t>ue coppia dei 300 nodi monofase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3</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Possibilità di simulare </w:t>
            </w:r>
            <w:proofErr w:type="spellStart"/>
            <w:r w:rsidRPr="004C47A3">
              <w:rPr>
                <w:rFonts w:ascii="Garamond" w:hAnsi="Garamond"/>
                <w:lang w:eastAsia="ar-SA"/>
              </w:rPr>
              <w:t>feeder</w:t>
            </w:r>
            <w:proofErr w:type="spellEnd"/>
            <w:r w:rsidRPr="004C47A3">
              <w:rPr>
                <w:rFonts w:ascii="Garamond" w:hAnsi="Garamond"/>
                <w:lang w:eastAsia="ar-SA"/>
              </w:rPr>
              <w:t xml:space="preserve"> radiali tipici delle reti di distribuzione, fino a 1200 nodi monofase senza elementi di disaccoppiamento all'interno del sottosistema.</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4</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I calcoli per la simulazione devono essere svolti da un processore RISC </w:t>
            </w:r>
            <w:proofErr w:type="spellStart"/>
            <w:r w:rsidRPr="004C47A3">
              <w:rPr>
                <w:rFonts w:ascii="Garamond" w:hAnsi="Garamond"/>
                <w:lang w:eastAsia="ar-SA"/>
              </w:rPr>
              <w:t>multicore</w:t>
            </w:r>
            <w:proofErr w:type="spellEnd"/>
            <w:r w:rsidRPr="004C47A3">
              <w:rPr>
                <w:rFonts w:ascii="Garamond" w:hAnsi="Garamond"/>
                <w:lang w:eastAsia="ar-SA"/>
              </w:rPr>
              <w:t>.</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21576A">
            <w:pPr>
              <w:widowControl w:val="0"/>
              <w:tabs>
                <w:tab w:val="right" w:leader="underscore" w:pos="9600"/>
              </w:tabs>
              <w:spacing w:line="360" w:lineRule="auto"/>
              <w:rPr>
                <w:rFonts w:ascii="Garamond" w:eastAsia="Calibri" w:hAnsi="Garamond"/>
              </w:rPr>
            </w:pPr>
            <w:r w:rsidRPr="004C47A3">
              <w:rPr>
                <w:rFonts w:ascii="Garamond" w:eastAsia="Calibri" w:hAnsi="Garamond"/>
              </w:rPr>
              <w:t>5</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Connettività Ethernet 100/1000BaseT</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21576A">
            <w:pPr>
              <w:widowControl w:val="0"/>
              <w:tabs>
                <w:tab w:val="right" w:leader="underscore" w:pos="9600"/>
              </w:tabs>
              <w:spacing w:line="360" w:lineRule="auto"/>
              <w:rPr>
                <w:rFonts w:ascii="Garamond" w:eastAsia="Calibri" w:hAnsi="Garamond"/>
              </w:rPr>
            </w:pPr>
            <w:r w:rsidRPr="004C47A3">
              <w:rPr>
                <w:rFonts w:ascii="Garamond" w:eastAsia="Calibri" w:hAnsi="Garamond"/>
              </w:rPr>
              <w:t>6</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Possibilità di controllare, monitorare ed interagire con la simulazione tramite il software del simulatore e tramite Ethernet durante l’esecuzione della simulazione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7</w:t>
            </w:r>
          </w:p>
        </w:tc>
        <w:tc>
          <w:tcPr>
            <w:tcW w:w="4681" w:type="dxa"/>
          </w:tcPr>
          <w:p w:rsidR="00A072ED" w:rsidRPr="004C47A3" w:rsidRDefault="00A072ED" w:rsidP="00D7262F">
            <w:pPr>
              <w:suppressAutoHyphens/>
              <w:spacing w:line="360" w:lineRule="auto"/>
              <w:jc w:val="both"/>
              <w:rPr>
                <w:rFonts w:ascii="Garamond" w:eastAsia="Times New Roman" w:hAnsi="Garamond" w:cs="Times New Roman"/>
                <w:color w:val="000000"/>
              </w:rPr>
            </w:pPr>
            <w:r w:rsidRPr="004C47A3">
              <w:rPr>
                <w:rFonts w:ascii="Garamond" w:hAnsi="Garamond"/>
                <w:lang w:eastAsia="ar-SA"/>
              </w:rPr>
              <w:t>Possibilità di sincronizzare il time-</w:t>
            </w:r>
            <w:proofErr w:type="spellStart"/>
            <w:r w:rsidRPr="004C47A3">
              <w:rPr>
                <w:rFonts w:ascii="Garamond" w:hAnsi="Garamond"/>
                <w:lang w:eastAsia="ar-SA"/>
              </w:rPr>
              <w:t>step</w:t>
            </w:r>
            <w:proofErr w:type="spellEnd"/>
            <w:r w:rsidRPr="004C47A3">
              <w:rPr>
                <w:rFonts w:ascii="Garamond" w:hAnsi="Garamond"/>
                <w:lang w:eastAsia="ar-SA"/>
              </w:rPr>
              <w:t xml:space="preserve"> della simulazione con un segnale di riferimento 1 </w:t>
            </w:r>
            <w:proofErr w:type="spellStart"/>
            <w:r w:rsidRPr="004C47A3">
              <w:rPr>
                <w:rFonts w:ascii="Garamond" w:hAnsi="Garamond"/>
                <w:lang w:eastAsia="ar-SA"/>
              </w:rPr>
              <w:t>Pulse</w:t>
            </w:r>
            <w:proofErr w:type="spellEnd"/>
            <w:r w:rsidRPr="004C47A3">
              <w:rPr>
                <w:rFonts w:ascii="Garamond" w:hAnsi="Garamond"/>
                <w:lang w:eastAsia="ar-SA"/>
              </w:rPr>
              <w:t xml:space="preserve"> Per Second (1PPS), IEEE 1588 o IRIG-B fornito da un dispositivo</w:t>
            </w:r>
            <w:r w:rsidR="00D7262F" w:rsidRPr="004C47A3">
              <w:rPr>
                <w:rFonts w:ascii="Garamond" w:hAnsi="Garamond"/>
                <w:lang w:eastAsia="ar-SA"/>
              </w:rPr>
              <w:t xml:space="preserve"> esterno (esempio orologio GPS)</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3531AB"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8</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Possibilità di espansioni future del simulatore (fino a 12000 nodi trifase)</w:t>
            </w:r>
          </w:p>
        </w:tc>
        <w:tc>
          <w:tcPr>
            <w:tcW w:w="1416" w:type="dxa"/>
          </w:tcPr>
          <w:p w:rsidR="00A072ED" w:rsidRPr="00127417"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127417"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9</w:t>
            </w:r>
          </w:p>
        </w:tc>
        <w:tc>
          <w:tcPr>
            <w:tcW w:w="4681" w:type="dxa"/>
          </w:tcPr>
          <w:p w:rsidR="00A072ED" w:rsidRPr="004C47A3" w:rsidRDefault="00A072ED" w:rsidP="00D6316E">
            <w:pPr>
              <w:suppressAutoHyphens/>
              <w:spacing w:line="360" w:lineRule="auto"/>
              <w:jc w:val="both"/>
              <w:rPr>
                <w:rFonts w:ascii="Garamond" w:hAnsi="Garamond"/>
                <w:color w:val="000000"/>
              </w:rPr>
            </w:pPr>
            <w:r w:rsidRPr="004C47A3">
              <w:rPr>
                <w:rFonts w:ascii="Garamond" w:hAnsi="Garamond"/>
                <w:color w:val="000000"/>
              </w:rPr>
              <w:t>Il simulatore dovrà fornire le seguenti funzionalità minime di input/output:</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12 uscite analogiche a 16 bit </w:t>
            </w:r>
            <w:proofErr w:type="spellStart"/>
            <w:r w:rsidRPr="004C47A3">
              <w:rPr>
                <w:rFonts w:ascii="Garamond" w:hAnsi="Garamond"/>
                <w:color w:val="000000"/>
              </w:rPr>
              <w:t>optoisolate</w:t>
            </w:r>
            <w:proofErr w:type="spellEnd"/>
            <w:r w:rsidRPr="004C47A3">
              <w:rPr>
                <w:rFonts w:ascii="Garamond" w:hAnsi="Garamond"/>
                <w:color w:val="000000"/>
              </w:rPr>
              <w:t xml:space="preserve">, +/- 10 V, risoluzione minore di 400 µV. Per le simulazioni standard che funzionano con </w:t>
            </w:r>
            <w:proofErr w:type="spellStart"/>
            <w:r w:rsidRPr="004C47A3">
              <w:rPr>
                <w:rFonts w:ascii="Garamond" w:hAnsi="Garamond"/>
                <w:color w:val="000000"/>
              </w:rPr>
              <w:t>timestep</w:t>
            </w:r>
            <w:proofErr w:type="spellEnd"/>
            <w:r w:rsidRPr="004C47A3">
              <w:rPr>
                <w:rFonts w:ascii="Garamond" w:hAnsi="Garamond"/>
                <w:color w:val="000000"/>
              </w:rPr>
              <w:t xml:space="preserve"> dell’ordine di 50 µs, il segnale di uscita analogico deve essere </w:t>
            </w:r>
            <w:proofErr w:type="spellStart"/>
            <w:r w:rsidRPr="004C47A3">
              <w:rPr>
                <w:rFonts w:ascii="Garamond" w:hAnsi="Garamond"/>
                <w:color w:val="000000"/>
              </w:rPr>
              <w:t>sovrac</w:t>
            </w:r>
            <w:r w:rsidR="008D5E43" w:rsidRPr="004C47A3">
              <w:rPr>
                <w:rFonts w:ascii="Garamond" w:hAnsi="Garamond"/>
                <w:color w:val="000000"/>
              </w:rPr>
              <w:t>ampionato</w:t>
            </w:r>
            <w:proofErr w:type="spellEnd"/>
            <w:r w:rsidR="008D5E43" w:rsidRPr="004C47A3">
              <w:rPr>
                <w:rFonts w:ascii="Garamond" w:hAnsi="Garamond"/>
                <w:color w:val="000000"/>
              </w:rPr>
              <w:t xml:space="preserve"> alla velocità di 1 µs</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12 ingressi analogici a 16 bit </w:t>
            </w:r>
            <w:proofErr w:type="spellStart"/>
            <w:r w:rsidRPr="004C47A3">
              <w:rPr>
                <w:rFonts w:ascii="Garamond" w:hAnsi="Garamond"/>
                <w:color w:val="000000"/>
              </w:rPr>
              <w:t>optoisolati</w:t>
            </w:r>
            <w:proofErr w:type="spellEnd"/>
            <w:r w:rsidRPr="004C47A3">
              <w:rPr>
                <w:rFonts w:ascii="Garamond" w:hAnsi="Garamond"/>
                <w:color w:val="000000"/>
              </w:rPr>
              <w:t>, +/- 10 V</w:t>
            </w:r>
            <w:r w:rsidR="008D5E43" w:rsidRPr="004C47A3">
              <w:rPr>
                <w:rFonts w:ascii="Garamond" w:hAnsi="Garamond"/>
                <w:color w:val="000000"/>
              </w:rPr>
              <w:t>, risoluzione minore di 400 µV</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32 ingressi digitali </w:t>
            </w:r>
            <w:proofErr w:type="spellStart"/>
            <w:r w:rsidRPr="004C47A3">
              <w:rPr>
                <w:rFonts w:ascii="Garamond" w:hAnsi="Garamond"/>
                <w:color w:val="000000"/>
              </w:rPr>
              <w:t>optoisolati</w:t>
            </w:r>
            <w:proofErr w:type="spellEnd"/>
            <w:r w:rsidRPr="004C47A3">
              <w:rPr>
                <w:rFonts w:ascii="Garamond" w:hAnsi="Garamond"/>
                <w:color w:val="000000"/>
              </w:rPr>
              <w:t xml:space="preserve">. Almeno 16 dei 32 canali devono garantire un </w:t>
            </w:r>
            <w:proofErr w:type="spellStart"/>
            <w:r w:rsidRPr="004C47A3">
              <w:rPr>
                <w:rFonts w:ascii="Garamond" w:hAnsi="Garamond"/>
                <w:color w:val="000000"/>
              </w:rPr>
              <w:t>timestamp</w:t>
            </w:r>
            <w:proofErr w:type="spellEnd"/>
            <w:r w:rsidRPr="004C47A3">
              <w:rPr>
                <w:rFonts w:ascii="Garamond" w:hAnsi="Garamond"/>
                <w:color w:val="000000"/>
              </w:rPr>
              <w:t xml:space="preserve"> con </w:t>
            </w:r>
            <w:r w:rsidRPr="004C47A3">
              <w:rPr>
                <w:rFonts w:ascii="Garamond" w:hAnsi="Garamond"/>
                <w:color w:val="000000"/>
              </w:rPr>
              <w:lastRenderedPageBreak/>
              <w:t>accuratezza migliore di 300ns</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32 uscite digitali </w:t>
            </w:r>
            <w:proofErr w:type="spellStart"/>
            <w:r w:rsidRPr="004C47A3">
              <w:rPr>
                <w:rFonts w:ascii="Garamond" w:hAnsi="Garamond"/>
                <w:color w:val="000000"/>
              </w:rPr>
              <w:t>optoisolate</w:t>
            </w:r>
            <w:proofErr w:type="spellEnd"/>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16 dry </w:t>
            </w:r>
            <w:proofErr w:type="spellStart"/>
            <w:r w:rsidRPr="004C47A3">
              <w:rPr>
                <w:rFonts w:ascii="Garamond" w:hAnsi="Garamond"/>
                <w:color w:val="000000"/>
              </w:rPr>
              <w:t>contacts</w:t>
            </w:r>
            <w:proofErr w:type="spellEnd"/>
            <w:r w:rsidRPr="004C47A3">
              <w:rPr>
                <w:rFonts w:ascii="Garamond" w:hAnsi="Garamond"/>
                <w:color w:val="000000"/>
              </w:rPr>
              <w:t xml:space="preserve"> alla tensione di 250V</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Tramite la connessione Ethernet il simulatore deve comprendere i seguenti protocolli standard di comunicazione: IEEE C37.118 PMU output, IEC 61850 GOOSE </w:t>
            </w:r>
            <w:proofErr w:type="spellStart"/>
            <w:r w:rsidRPr="004C47A3">
              <w:rPr>
                <w:rFonts w:ascii="Garamond" w:hAnsi="Garamond"/>
                <w:color w:val="000000"/>
              </w:rPr>
              <w:t>messaging</w:t>
            </w:r>
            <w:proofErr w:type="spellEnd"/>
            <w:r w:rsidRPr="004C47A3">
              <w:rPr>
                <w:rFonts w:ascii="Garamond" w:hAnsi="Garamond"/>
                <w:color w:val="000000"/>
              </w:rPr>
              <w:t xml:space="preserve">, IEC 61850-9-2/IEC 61869-9 </w:t>
            </w:r>
            <w:proofErr w:type="spellStart"/>
            <w:r w:rsidRPr="004C47A3">
              <w:rPr>
                <w:rFonts w:ascii="Garamond" w:hAnsi="Garamond"/>
                <w:color w:val="000000"/>
              </w:rPr>
              <w:t>Sampled</w:t>
            </w:r>
            <w:proofErr w:type="spellEnd"/>
            <w:r w:rsidRPr="004C47A3">
              <w:rPr>
                <w:rFonts w:ascii="Garamond" w:hAnsi="Garamond"/>
                <w:color w:val="000000"/>
              </w:rPr>
              <w:t xml:space="preserve"> </w:t>
            </w:r>
            <w:proofErr w:type="spellStart"/>
            <w:r w:rsidRPr="004C47A3">
              <w:rPr>
                <w:rFonts w:ascii="Garamond" w:hAnsi="Garamond"/>
                <w:color w:val="000000"/>
              </w:rPr>
              <w:t>Values</w:t>
            </w:r>
            <w:proofErr w:type="spellEnd"/>
            <w:r w:rsidRPr="004C47A3">
              <w:rPr>
                <w:rFonts w:ascii="Garamond" w:hAnsi="Garamond"/>
                <w:color w:val="000000"/>
              </w:rPr>
              <w:t xml:space="preserve">, DNP3, IEC 60870-5-104 COMTRADE Playback, </w:t>
            </w:r>
            <w:proofErr w:type="spellStart"/>
            <w:r w:rsidRPr="004C47A3">
              <w:rPr>
                <w:rFonts w:ascii="Garamond" w:hAnsi="Garamond"/>
                <w:color w:val="000000"/>
              </w:rPr>
              <w:t>Modbus</w:t>
            </w:r>
            <w:proofErr w:type="spellEnd"/>
            <w:r w:rsidRPr="004C47A3">
              <w:rPr>
                <w:rFonts w:ascii="Garamond" w:hAnsi="Garamond"/>
                <w:color w:val="000000"/>
              </w:rPr>
              <w:t>, TCP and UDP</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Il simulatore deve poter comunicare tramite protocollo digitale Aurora con amplificatori di potenza. Devono essere disponibili 4 porte per conness</w:t>
            </w:r>
            <w:r w:rsidR="008D5E43" w:rsidRPr="004C47A3">
              <w:rPr>
                <w:rFonts w:ascii="Garamond" w:hAnsi="Garamond"/>
                <w:color w:val="000000"/>
              </w:rPr>
              <w:t>ione di fibra ottica per Aurora</w:t>
            </w:r>
          </w:p>
          <w:p w:rsidR="00A072ED" w:rsidRPr="004C47A3" w:rsidRDefault="00A072ED" w:rsidP="008D5E43">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Possibilità di posizionare tutti gli I / O descritti sopra fino a 75 metri di distanza dagli elementi di elaborazione del simulatore. Il trasferimento dei dati deve essere facilitato tramite una o </w:t>
            </w:r>
            <w:r w:rsidR="008D5E43" w:rsidRPr="004C47A3">
              <w:rPr>
                <w:rFonts w:ascii="Garamond" w:hAnsi="Garamond"/>
                <w:color w:val="000000"/>
              </w:rPr>
              <w:t>più connessioni in fibra ottica</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01031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lastRenderedPageBreak/>
              <w:t>10</w:t>
            </w:r>
          </w:p>
        </w:tc>
        <w:tc>
          <w:tcPr>
            <w:tcW w:w="4681" w:type="dxa"/>
          </w:tcPr>
          <w:p w:rsidR="00A072ED" w:rsidRPr="004C47A3" w:rsidRDefault="00A072ED" w:rsidP="0038618D">
            <w:pPr>
              <w:suppressAutoHyphens/>
              <w:spacing w:line="360" w:lineRule="auto"/>
              <w:jc w:val="both"/>
              <w:rPr>
                <w:rFonts w:ascii="Garamond" w:hAnsi="Garamond"/>
                <w:color w:val="000000"/>
              </w:rPr>
            </w:pPr>
            <w:r w:rsidRPr="004C47A3">
              <w:rPr>
                <w:rFonts w:ascii="Garamond" w:hAnsi="Garamond"/>
                <w:lang w:eastAsia="ar-SA"/>
              </w:rPr>
              <w:t>Il simulatore deve essere in grado di simulare, in real-time con un time-</w:t>
            </w:r>
            <w:proofErr w:type="spellStart"/>
            <w:r w:rsidRPr="004C47A3">
              <w:rPr>
                <w:rFonts w:ascii="Garamond" w:hAnsi="Garamond"/>
                <w:lang w:eastAsia="ar-SA"/>
              </w:rPr>
              <w:t>step</w:t>
            </w:r>
            <w:proofErr w:type="spellEnd"/>
            <w:r w:rsidRPr="004C47A3">
              <w:rPr>
                <w:rFonts w:ascii="Garamond" w:hAnsi="Garamond"/>
                <w:lang w:eastAsia="ar-SA"/>
              </w:rPr>
              <w:t xml:space="preserve"> inferiore a 30 µs, continuativamente, per una durata minima di dodici (12) ore, la rete elettrica mostrata </w:t>
            </w:r>
            <w:r w:rsidR="0038618D" w:rsidRPr="004C47A3">
              <w:rPr>
                <w:rFonts w:ascii="Garamond" w:hAnsi="Garamond"/>
                <w:lang w:eastAsia="ar-SA"/>
              </w:rPr>
              <w:t>nella</w:t>
            </w:r>
            <w:r w:rsidRPr="004C47A3">
              <w:rPr>
                <w:rFonts w:ascii="Garamond" w:hAnsi="Garamond"/>
                <w:lang w:eastAsia="ar-SA"/>
              </w:rPr>
              <w:t xml:space="preserve"> figura</w:t>
            </w:r>
            <w:r w:rsidR="0038618D" w:rsidRPr="004C47A3">
              <w:rPr>
                <w:rFonts w:ascii="Garamond" w:hAnsi="Garamond"/>
                <w:lang w:eastAsia="ar-SA"/>
              </w:rPr>
              <w:t xml:space="preserve"> a pag. 13 delle Specifiche tecniche</w:t>
            </w:r>
          </w:p>
        </w:tc>
        <w:tc>
          <w:tcPr>
            <w:tcW w:w="1416" w:type="dxa"/>
          </w:tcPr>
          <w:p w:rsidR="00A072ED" w:rsidRPr="009029BA"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9029BA" w:rsidRDefault="00A072ED" w:rsidP="00CE5679">
            <w:pPr>
              <w:widowControl w:val="0"/>
              <w:tabs>
                <w:tab w:val="right" w:leader="underscore" w:pos="9600"/>
              </w:tabs>
              <w:spacing w:line="360" w:lineRule="auto"/>
              <w:rPr>
                <w:rFonts w:ascii="Garamond" w:eastAsia="Calibri" w:hAnsi="Garamond"/>
              </w:rPr>
            </w:pPr>
          </w:p>
        </w:tc>
      </w:tr>
      <w:tr w:rsidR="00A072ED" w:rsidRPr="00CC7A5E"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11</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Con riferimento alla figura </w:t>
            </w:r>
            <w:r w:rsidR="00F87E70" w:rsidRPr="004C47A3">
              <w:rPr>
                <w:rFonts w:ascii="Garamond" w:hAnsi="Garamond"/>
                <w:lang w:eastAsia="ar-SA"/>
              </w:rPr>
              <w:t>a pag. 13 delle Specifiche tecniche</w:t>
            </w:r>
            <w:r w:rsidRPr="004C47A3">
              <w:rPr>
                <w:rFonts w:ascii="Garamond" w:hAnsi="Garamond"/>
                <w:lang w:eastAsia="ar-SA"/>
              </w:rPr>
              <w:t xml:space="preserve">, deve essere possibile azionare qualsiasi interruttore mostrato nello schema, su ciascuna singola fase separatamente, in qualsiasi momento (cioè tutti gli interruttori devono essere rappresentati simultaneamente). Deve essere possibile impostare o modificare i </w:t>
            </w:r>
            <w:proofErr w:type="spellStart"/>
            <w:r w:rsidRPr="004C47A3">
              <w:rPr>
                <w:rFonts w:ascii="Garamond" w:hAnsi="Garamond"/>
                <w:lang w:eastAsia="ar-SA"/>
              </w:rPr>
              <w:t>setpoint</w:t>
            </w:r>
            <w:proofErr w:type="spellEnd"/>
            <w:r w:rsidRPr="004C47A3">
              <w:rPr>
                <w:rFonts w:ascii="Garamond" w:hAnsi="Garamond"/>
                <w:lang w:eastAsia="ar-SA"/>
              </w:rPr>
              <w:t xml:space="preserve"> per il valore dei carichi dinamici ad ogni time-</w:t>
            </w:r>
            <w:proofErr w:type="spellStart"/>
            <w:r w:rsidRPr="004C47A3">
              <w:rPr>
                <w:rFonts w:ascii="Garamond" w:hAnsi="Garamond"/>
                <w:lang w:eastAsia="ar-SA"/>
              </w:rPr>
              <w:t>step</w:t>
            </w:r>
            <w:proofErr w:type="spellEnd"/>
            <w:r w:rsidRPr="004C47A3">
              <w:rPr>
                <w:rFonts w:ascii="Garamond" w:hAnsi="Garamond"/>
                <w:lang w:eastAsia="ar-SA"/>
              </w:rPr>
              <w:t>. Inoltre, deve essere possibile rappresentare simultaneamente tutte le linee di trasmissione con model</w:t>
            </w:r>
            <w:r w:rsidR="003B0638" w:rsidRPr="004C47A3">
              <w:rPr>
                <w:rFonts w:ascii="Garamond" w:hAnsi="Garamond"/>
                <w:lang w:eastAsia="ar-SA"/>
              </w:rPr>
              <w:t xml:space="preserve">li </w:t>
            </w:r>
            <w:proofErr w:type="spellStart"/>
            <w:r w:rsidR="003B0638" w:rsidRPr="004C47A3">
              <w:rPr>
                <w:rFonts w:ascii="Garamond" w:hAnsi="Garamond"/>
                <w:lang w:eastAsia="ar-SA"/>
              </w:rPr>
              <w:t>travelling</w:t>
            </w:r>
            <w:proofErr w:type="spellEnd"/>
            <w:r w:rsidR="003B0638" w:rsidRPr="004C47A3">
              <w:rPr>
                <w:rFonts w:ascii="Garamond" w:hAnsi="Garamond"/>
                <w:lang w:eastAsia="ar-SA"/>
              </w:rPr>
              <w:t xml:space="preserve"> </w:t>
            </w:r>
            <w:proofErr w:type="spellStart"/>
            <w:r w:rsidR="003B0638" w:rsidRPr="004C47A3">
              <w:rPr>
                <w:rFonts w:ascii="Garamond" w:hAnsi="Garamond"/>
                <w:lang w:eastAsia="ar-SA"/>
              </w:rPr>
              <w:t>wave</w:t>
            </w:r>
            <w:proofErr w:type="spellEnd"/>
            <w:r w:rsidR="003B0638" w:rsidRPr="004C47A3">
              <w:rPr>
                <w:rFonts w:ascii="Garamond" w:hAnsi="Garamond"/>
                <w:lang w:eastAsia="ar-SA"/>
              </w:rPr>
              <w:t xml:space="preserve"> o a PI greco</w:t>
            </w:r>
          </w:p>
        </w:tc>
        <w:tc>
          <w:tcPr>
            <w:tcW w:w="1416" w:type="dxa"/>
          </w:tcPr>
          <w:p w:rsidR="00A072ED" w:rsidRPr="00AF520E"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AF520E"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12</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capacità di rappresentare un convertitore elettronico di potenza (ad esempio HVDC, SVC, TCSC) con un'accuratezza di </w:t>
            </w:r>
            <w:proofErr w:type="spellStart"/>
            <w:r w:rsidRPr="004C47A3">
              <w:rPr>
                <w:rFonts w:ascii="Garamond" w:hAnsi="Garamond"/>
                <w:lang w:eastAsia="ar-SA"/>
              </w:rPr>
              <w:t>firing</w:t>
            </w:r>
            <w:proofErr w:type="spellEnd"/>
            <w:r w:rsidRPr="004C47A3">
              <w:rPr>
                <w:rFonts w:ascii="Garamond" w:hAnsi="Garamond"/>
                <w:lang w:eastAsia="ar-SA"/>
              </w:rPr>
              <w:t xml:space="preserve"> effettiva minima di 1 µs</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13</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capacità di rappresentare VSC come </w:t>
            </w:r>
            <w:proofErr w:type="spellStart"/>
            <w:r w:rsidRPr="004C47A3">
              <w:rPr>
                <w:rFonts w:ascii="Garamond" w:hAnsi="Garamond"/>
                <w:lang w:eastAsia="ar-SA"/>
              </w:rPr>
              <w:t>sottoreti</w:t>
            </w:r>
            <w:proofErr w:type="spellEnd"/>
            <w:r w:rsidRPr="004C47A3">
              <w:rPr>
                <w:rFonts w:ascii="Garamond" w:hAnsi="Garamond"/>
                <w:lang w:eastAsia="ar-SA"/>
              </w:rPr>
              <w:t xml:space="preserve"> </w:t>
            </w:r>
            <w:r w:rsidRPr="004C47A3">
              <w:rPr>
                <w:rFonts w:ascii="Garamond" w:hAnsi="Garamond"/>
                <w:lang w:eastAsia="ar-SA"/>
              </w:rPr>
              <w:lastRenderedPageBreak/>
              <w:t xml:space="preserve">speciali che operano con </w:t>
            </w:r>
            <w:proofErr w:type="spellStart"/>
            <w:r w:rsidRPr="004C47A3">
              <w:rPr>
                <w:rFonts w:ascii="Garamond" w:hAnsi="Garamond"/>
                <w:lang w:eastAsia="ar-SA"/>
              </w:rPr>
              <w:t>timestep</w:t>
            </w:r>
            <w:proofErr w:type="spellEnd"/>
            <w:r w:rsidRPr="004C47A3">
              <w:rPr>
                <w:rFonts w:ascii="Garamond" w:hAnsi="Garamond"/>
                <w:lang w:eastAsia="ar-SA"/>
              </w:rPr>
              <w:t xml:space="preserve"> nell'intervallo 1,4 - 3,75 µs. possibilità di interfacciare le </w:t>
            </w:r>
            <w:proofErr w:type="spellStart"/>
            <w:r w:rsidRPr="004C47A3">
              <w:rPr>
                <w:rFonts w:ascii="Garamond" w:hAnsi="Garamond"/>
                <w:lang w:eastAsia="ar-SA"/>
              </w:rPr>
              <w:t>sottoreti</w:t>
            </w:r>
            <w:proofErr w:type="spellEnd"/>
            <w:r w:rsidRPr="004C47A3">
              <w:rPr>
                <w:rFonts w:ascii="Garamond" w:hAnsi="Garamond"/>
                <w:lang w:eastAsia="ar-SA"/>
              </w:rPr>
              <w:t xml:space="preserve"> VSC alla simulazione principale in modo che l'interazione del VSC con una rete estesa possa essere rappresentata e studiata</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lastRenderedPageBreak/>
              <w:t>14</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Le </w:t>
            </w:r>
            <w:proofErr w:type="spellStart"/>
            <w:r w:rsidRPr="004C47A3">
              <w:rPr>
                <w:rFonts w:ascii="Garamond" w:hAnsi="Garamond"/>
                <w:lang w:eastAsia="ar-SA"/>
              </w:rPr>
              <w:t>sottoreti</w:t>
            </w:r>
            <w:proofErr w:type="spellEnd"/>
            <w:r w:rsidRPr="004C47A3">
              <w:rPr>
                <w:rFonts w:ascii="Garamond" w:hAnsi="Garamond"/>
                <w:lang w:eastAsia="ar-SA"/>
              </w:rPr>
              <w:t xml:space="preserve"> contenenti i VSC devono rappresentare accuratamente il comportamento del convertitore con commutazione a frequenze PWM nell'ordine di 10 kHz per i convertitori a 3 livelli e 40 kHz</w:t>
            </w:r>
            <w:r w:rsidR="003B0638" w:rsidRPr="004C47A3">
              <w:rPr>
                <w:rFonts w:ascii="Garamond" w:hAnsi="Garamond"/>
                <w:lang w:eastAsia="ar-SA"/>
              </w:rPr>
              <w:t xml:space="preserve"> per i convertitori a 2 livelli</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rPr>
          <w:trHeight w:val="500"/>
        </w:trPr>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15</w:t>
            </w:r>
          </w:p>
        </w:tc>
        <w:tc>
          <w:tcPr>
            <w:tcW w:w="4681" w:type="dxa"/>
          </w:tcPr>
          <w:p w:rsidR="00A072ED" w:rsidRPr="004C47A3" w:rsidRDefault="00A072ED" w:rsidP="009029BA">
            <w:pPr>
              <w:suppressAutoHyphens/>
              <w:spacing w:line="360" w:lineRule="auto"/>
              <w:jc w:val="both"/>
              <w:rPr>
                <w:rFonts w:ascii="Garamond" w:eastAsia="Times New Roman" w:hAnsi="Garamond" w:cs="Times New Roman"/>
                <w:color w:val="000000"/>
              </w:rPr>
            </w:pPr>
            <w:r w:rsidRPr="004C47A3">
              <w:rPr>
                <w:rFonts w:ascii="Garamond" w:eastAsia="Times New Roman" w:hAnsi="Garamond" w:cs="Times New Roman"/>
                <w:color w:val="000000"/>
              </w:rPr>
              <w:t>Il software del simulatore deve avere una interfaccia utente (GUI) con le seguenti funzioni:</w:t>
            </w:r>
          </w:p>
          <w:p w:rsidR="00A072ED" w:rsidRPr="004C47A3" w:rsidRDefault="00A072ED" w:rsidP="00CE7E66">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Costruzione dei circuiti - un modulo per consentire la costruzione di circuiti di simulazione. Deve essere possibile utilizzare moduli predefiniti da una libreria di componenti per assemblare nuovi casi di simulazione. Deve essere possibile costruire il diagramma in forma </w:t>
            </w:r>
            <w:proofErr w:type="spellStart"/>
            <w:r w:rsidRPr="004C47A3">
              <w:rPr>
                <w:rFonts w:ascii="Garamond" w:hAnsi="Garamond"/>
                <w:color w:val="000000"/>
              </w:rPr>
              <w:t>multifilare</w:t>
            </w:r>
            <w:proofErr w:type="spellEnd"/>
            <w:r w:rsidRPr="004C47A3">
              <w:rPr>
                <w:rFonts w:ascii="Garamond" w:hAnsi="Garamond"/>
                <w:color w:val="000000"/>
              </w:rPr>
              <w:t xml:space="preserve"> o unifilare e deve essere possibile alternare le due diverse viste dello stesso circuito.</w:t>
            </w:r>
          </w:p>
          <w:p w:rsidR="00A072ED" w:rsidRPr="004C47A3" w:rsidRDefault="00A072ED" w:rsidP="00CE7E66">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Costanti di linee aeree e cavi: un modulo per calcolare i parametri per le linee aeree e i cavi. Deve essere possibile inserire i parametri fisici delle linee di trasmissione e dei cavi per calcolare i parametri. In alternativa, per le linee aeree di trasmissione deve essere possibile immettere dati di sequenza positiva e zero per linee di trasmissione a 3 e 6 conduttori per calcolare i parametri.</w:t>
            </w:r>
          </w:p>
          <w:p w:rsidR="00A072ED" w:rsidRPr="004C47A3" w:rsidRDefault="00A072ED" w:rsidP="00CE7E66">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Runtime del simulatore: un modulo per il funzionamento del simulatore e il recupero dei risultati della simulazione. Questo modulo deve consentire l'avvio e l'arresto dei casi di simulazione. Il funzionamento del sistema (vale a dire la modifica dei </w:t>
            </w:r>
            <w:proofErr w:type="spellStart"/>
            <w:r w:rsidRPr="004C47A3">
              <w:rPr>
                <w:rFonts w:ascii="Garamond" w:hAnsi="Garamond"/>
                <w:color w:val="000000"/>
              </w:rPr>
              <w:t>setpoint</w:t>
            </w:r>
            <w:proofErr w:type="spellEnd"/>
            <w:r w:rsidRPr="004C47A3">
              <w:rPr>
                <w:rFonts w:ascii="Garamond" w:hAnsi="Garamond"/>
                <w:color w:val="000000"/>
              </w:rPr>
              <w:t xml:space="preserve"> e degli stati degli interruttori), le applicazioni di guasti, il monitoraggio dello stato del sistema (ad es. tensioni e correnti RMS) e il recupero dei risultati della simulazione (simile a un registratore di guasti) devono essere possibili senza </w:t>
            </w:r>
            <w:r w:rsidRPr="004C47A3">
              <w:rPr>
                <w:rFonts w:ascii="Garamond" w:hAnsi="Garamond"/>
                <w:color w:val="000000"/>
              </w:rPr>
              <w:lastRenderedPageBreak/>
              <w:t>interrompere la simulazione (cioè mentre è in esecuzione).</w:t>
            </w:r>
          </w:p>
          <w:p w:rsidR="00A072ED" w:rsidRPr="004C47A3" w:rsidRDefault="00A072ED" w:rsidP="00CE7E66">
            <w:pPr>
              <w:tabs>
                <w:tab w:val="left" w:pos="320"/>
              </w:tabs>
              <w:suppressAutoHyphens/>
              <w:spacing w:line="360" w:lineRule="auto"/>
              <w:jc w:val="both"/>
              <w:rPr>
                <w:rFonts w:ascii="Garamond" w:eastAsia="Times New Roman" w:hAnsi="Garamond" w:cs="Times New Roman"/>
                <w:color w:val="000000"/>
              </w:rPr>
            </w:pPr>
            <w:r w:rsidRPr="004C47A3">
              <w:rPr>
                <w:rFonts w:ascii="Garamond" w:hAnsi="Garamond"/>
                <w:color w:val="000000"/>
              </w:rPr>
              <w:t>o</w:t>
            </w:r>
            <w:r w:rsidRPr="004C47A3">
              <w:rPr>
                <w:rFonts w:ascii="Garamond" w:hAnsi="Garamond"/>
                <w:color w:val="000000"/>
              </w:rPr>
              <w:tab/>
              <w:t>Deve essere possibile l’esportazione dei risultati delle simulazioni in ASCII</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lastRenderedPageBreak/>
              <w:t>16</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Il software deve permettere l’esecuzione di simulazioni batch (parametriche) e di salvare i risultati ad ogni esecuzione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17</w:t>
            </w:r>
          </w:p>
        </w:tc>
        <w:tc>
          <w:tcPr>
            <w:tcW w:w="4681" w:type="dxa"/>
          </w:tcPr>
          <w:p w:rsidR="00A072ED" w:rsidRPr="004C47A3" w:rsidRDefault="00A072ED" w:rsidP="009029BA">
            <w:pPr>
              <w:suppressAutoHyphens/>
              <w:spacing w:line="360" w:lineRule="auto"/>
              <w:jc w:val="both"/>
              <w:rPr>
                <w:rFonts w:ascii="Garamond" w:hAnsi="Garamond"/>
                <w:color w:val="000000"/>
              </w:rPr>
            </w:pPr>
            <w:r w:rsidRPr="004C47A3">
              <w:rPr>
                <w:rFonts w:ascii="Garamond" w:hAnsi="Garamond"/>
                <w:color w:val="000000"/>
              </w:rPr>
              <w:t>Deve essere fornito il seguente set minimo di modelli (all’interno del software proprietario di simulazione):</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Linea elettrica a parametri distribuiti, modello a </w:t>
            </w:r>
            <w:proofErr w:type="spellStart"/>
            <w:r w:rsidRPr="004C47A3">
              <w:rPr>
                <w:rFonts w:ascii="Garamond" w:hAnsi="Garamond"/>
                <w:color w:val="000000"/>
              </w:rPr>
              <w:t>pi</w:t>
            </w:r>
            <w:proofErr w:type="spellEnd"/>
            <w:r w:rsidRPr="004C47A3">
              <w:rPr>
                <w:rFonts w:ascii="Garamond" w:hAnsi="Garamond"/>
                <w:color w:val="000000"/>
              </w:rPr>
              <w:t xml:space="preserve"> greco e modello nel dominio dei fasori dipendente dalla frequenza</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Trasformatori a 2 e 3 avvolgimenti e autotrasformatori. Deve essere possibile tenere conto di saturazione, isteresi e variatori sotto carico</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Macchina sincrona (standard e a magneti permanenti). La macchina standard deve essere modellata nel dominio delle fasi per consentire la simulazione del vero guasto a terra dell’avvolgimento di statore e del vero guasto a terra dell’avvolgimento di eccitazione. In questo modo il punto di guasto può essere impostato in punti diversi </w:t>
            </w:r>
            <w:r w:rsidR="009D7238" w:rsidRPr="004C47A3">
              <w:rPr>
                <w:rFonts w:ascii="Garamond" w:hAnsi="Garamond"/>
                <w:color w:val="000000"/>
              </w:rPr>
              <w:t>lungo i rispettivi avvolgimenti</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Macchina a induzione</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Macchina in corrente continua</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Generatori di tensione</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Elementi passivi (R,L,C)</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Interruttori</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Scaricatori</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Gruppi di valvole HVDC</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Filtri</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SVC</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Trasformatori di misura</w:t>
            </w:r>
          </w:p>
          <w:p w:rsidR="00A072ED" w:rsidRPr="004C47A3" w:rsidRDefault="00A072ED" w:rsidP="00C50424">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VSC</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t>18</w:t>
            </w:r>
          </w:p>
        </w:tc>
        <w:tc>
          <w:tcPr>
            <w:tcW w:w="4681" w:type="dxa"/>
          </w:tcPr>
          <w:p w:rsidR="00A072ED" w:rsidRPr="004C47A3" w:rsidRDefault="00A072ED" w:rsidP="003D7C4A">
            <w:pPr>
              <w:suppressAutoHyphens/>
              <w:spacing w:line="360" w:lineRule="auto"/>
              <w:jc w:val="both"/>
              <w:rPr>
                <w:rFonts w:ascii="Garamond" w:hAnsi="Garamond"/>
                <w:color w:val="000000"/>
              </w:rPr>
            </w:pPr>
            <w:r w:rsidRPr="004C47A3">
              <w:rPr>
                <w:rFonts w:ascii="Garamond" w:hAnsi="Garamond"/>
                <w:color w:val="000000"/>
              </w:rPr>
              <w:t>Il software deve fornire il seguente set minimo di elementi di controllo:</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r>
            <w:proofErr w:type="spellStart"/>
            <w:r w:rsidRPr="004C47A3">
              <w:rPr>
                <w:rFonts w:ascii="Garamond" w:hAnsi="Garamond"/>
                <w:color w:val="000000"/>
              </w:rPr>
              <w:t>Slider</w:t>
            </w:r>
            <w:proofErr w:type="spellEnd"/>
            <w:r w:rsidRPr="004C47A3">
              <w:rPr>
                <w:rFonts w:ascii="Garamond" w:hAnsi="Garamond"/>
                <w:color w:val="000000"/>
              </w:rPr>
              <w:t>, interruttori, pulsanti, ecc.</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lastRenderedPageBreak/>
              <w:t>o</w:t>
            </w:r>
            <w:r w:rsidRPr="004C47A3">
              <w:rPr>
                <w:rFonts w:ascii="Garamond" w:hAnsi="Garamond"/>
                <w:color w:val="000000"/>
              </w:rPr>
              <w:tab/>
              <w:t>Costanti</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Funzioni matematiche reali e complesse</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Funzioni trigonometriche</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Funzioni logiche</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Sistemi di controllo standard per: eccitazione generatori, variatori sotto carico, ecc.</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Sistemi di misura: RMS, potenze, angoli, frequenza</w:t>
            </w:r>
          </w:p>
          <w:p w:rsidR="00A072ED" w:rsidRPr="004C47A3" w:rsidRDefault="00A072ED" w:rsidP="009D723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 xml:space="preserve">Logiche </w:t>
            </w:r>
            <w:proofErr w:type="spellStart"/>
            <w:r w:rsidRPr="004C47A3">
              <w:rPr>
                <w:rFonts w:ascii="Garamond" w:hAnsi="Garamond"/>
                <w:color w:val="000000"/>
              </w:rPr>
              <w:t>relay</w:t>
            </w:r>
            <w:proofErr w:type="spellEnd"/>
            <w:r w:rsidRPr="004C47A3">
              <w:rPr>
                <w:rFonts w:ascii="Garamond" w:hAnsi="Garamond"/>
                <w:color w:val="000000"/>
              </w:rPr>
              <w:t xml:space="preserve"> (</w:t>
            </w:r>
            <w:proofErr w:type="spellStart"/>
            <w:r w:rsidRPr="004C47A3">
              <w:rPr>
                <w:rFonts w:ascii="Garamond" w:hAnsi="Garamond"/>
                <w:color w:val="000000"/>
              </w:rPr>
              <w:t>distanziomentrica</w:t>
            </w:r>
            <w:proofErr w:type="spellEnd"/>
            <w:r w:rsidRPr="004C47A3">
              <w:rPr>
                <w:rFonts w:ascii="Garamond" w:hAnsi="Garamond"/>
                <w:color w:val="000000"/>
              </w:rPr>
              <w:t>, differenziale, generatore, sovracorrente)</w:t>
            </w:r>
          </w:p>
          <w:p w:rsidR="00A072ED" w:rsidRPr="004C47A3" w:rsidRDefault="00A072ED" w:rsidP="005B1EF8">
            <w:pPr>
              <w:tabs>
                <w:tab w:val="left" w:pos="320"/>
              </w:tabs>
              <w:suppressAutoHyphens/>
              <w:spacing w:line="360" w:lineRule="auto"/>
              <w:jc w:val="both"/>
              <w:rPr>
                <w:rFonts w:ascii="Garamond" w:hAnsi="Garamond"/>
                <w:color w:val="000000"/>
              </w:rPr>
            </w:pPr>
            <w:r w:rsidRPr="004C47A3">
              <w:rPr>
                <w:rFonts w:ascii="Garamond" w:hAnsi="Garamond"/>
                <w:color w:val="000000"/>
              </w:rPr>
              <w:t>o</w:t>
            </w:r>
            <w:r w:rsidRPr="004C47A3">
              <w:rPr>
                <w:rFonts w:ascii="Garamond" w:hAnsi="Garamond"/>
                <w:color w:val="000000"/>
              </w:rPr>
              <w:tab/>
              <w:t>PMU</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center"/>
              <w:rPr>
                <w:rFonts w:ascii="Garamond" w:eastAsia="Calibri" w:hAnsi="Garamond"/>
              </w:rPr>
            </w:pPr>
            <w:r w:rsidRPr="004C47A3">
              <w:rPr>
                <w:rFonts w:ascii="Garamond" w:eastAsia="Calibri" w:hAnsi="Garamond"/>
              </w:rPr>
              <w:lastRenderedPageBreak/>
              <w:t>19</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possibilità per l'utente di creare modelli di componenti elettrici e di controllo che funzionino in real-time insieme ai modelli standard forniti dal fornitore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20</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il software deve includere la possibilità di calcolare il </w:t>
            </w:r>
            <w:proofErr w:type="spellStart"/>
            <w:r w:rsidRPr="004C47A3">
              <w:rPr>
                <w:rFonts w:ascii="Garamond" w:hAnsi="Garamond"/>
                <w:lang w:eastAsia="ar-SA"/>
              </w:rPr>
              <w:t>load</w:t>
            </w:r>
            <w:proofErr w:type="spellEnd"/>
            <w:r w:rsidRPr="004C47A3">
              <w:rPr>
                <w:rFonts w:ascii="Garamond" w:hAnsi="Garamond"/>
                <w:lang w:eastAsia="ar-SA"/>
              </w:rPr>
              <w:t xml:space="preserve"> flow, che può essere utilizzata per inizializzare i componenti di simulazione prima che inizi la simulazione elettromagnetica dei transitori in real-time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21</w:t>
            </w:r>
          </w:p>
        </w:tc>
        <w:tc>
          <w:tcPr>
            <w:tcW w:w="4681" w:type="dxa"/>
          </w:tcPr>
          <w:p w:rsidR="00A072ED" w:rsidRPr="004C47A3" w:rsidRDefault="00A072ED" w:rsidP="00AF5771">
            <w:pPr>
              <w:suppressAutoHyphens/>
              <w:spacing w:line="360" w:lineRule="auto"/>
              <w:jc w:val="both"/>
              <w:rPr>
                <w:rFonts w:ascii="Garamond" w:eastAsia="Times New Roman" w:hAnsi="Garamond" w:cs="Times New Roman"/>
                <w:color w:val="000000"/>
              </w:rPr>
            </w:pPr>
            <w:r w:rsidRPr="004C47A3">
              <w:rPr>
                <w:rFonts w:ascii="Garamond" w:hAnsi="Garamond"/>
                <w:lang w:eastAsia="ar-SA"/>
              </w:rPr>
              <w:t xml:space="preserve">possibilità di importare dati in formato PSS/E. Una volta convertito, il sistema PSS / E deve essere disponibile anche in </w:t>
            </w:r>
            <w:r w:rsidR="005B1EF8" w:rsidRPr="004C47A3">
              <w:rPr>
                <w:rFonts w:ascii="Garamond" w:hAnsi="Garamond"/>
                <w:lang w:eastAsia="ar-SA"/>
              </w:rPr>
              <w:t>formato grafico e modificabile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22</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possibilità di importa</w:t>
            </w:r>
            <w:r w:rsidR="005B1EF8" w:rsidRPr="004C47A3">
              <w:rPr>
                <w:rFonts w:ascii="Garamond" w:hAnsi="Garamond"/>
                <w:lang w:eastAsia="ar-SA"/>
              </w:rPr>
              <w:t>re dati in formato PSCAD e CYME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23</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La licenza deve permettere di installare tutto il software incluso nella fornitura del simulatore su qualsiasi numero di computer desktop o portatili all’interno del Politecnico di Torino. Se non è possibile fornire una simile licenza, deve essere fornito un minimo di venti licenze indipendenti per tutto il sof</w:t>
            </w:r>
            <w:r w:rsidR="005B1EF8" w:rsidRPr="004C47A3">
              <w:rPr>
                <w:rFonts w:ascii="Garamond" w:hAnsi="Garamond"/>
                <w:lang w:eastAsia="ar-SA"/>
              </w:rPr>
              <w:t>tware fornito con il simulatore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24</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 xml:space="preserve">Il simulatore deve essere in grado di inviare e ricevere pacchetti UDP / TCP generici tramite una connessione </w:t>
            </w:r>
            <w:proofErr w:type="spellStart"/>
            <w:r w:rsidRPr="004C47A3">
              <w:rPr>
                <w:rFonts w:ascii="Garamond" w:hAnsi="Garamond"/>
                <w:lang w:eastAsia="ar-SA"/>
              </w:rPr>
              <w:t>socket</w:t>
            </w:r>
            <w:proofErr w:type="spellEnd"/>
            <w:r w:rsidRPr="004C47A3">
              <w:rPr>
                <w:rFonts w:ascii="Garamond" w:hAnsi="Garamond"/>
                <w:lang w:eastAsia="ar-SA"/>
              </w:rPr>
              <w:t xml:space="preserve"> basata su Ethernet ad apparecchiature esterne (ad esempio computer o controller) dura</w:t>
            </w:r>
            <w:r w:rsidR="00185B5E" w:rsidRPr="004C47A3">
              <w:rPr>
                <w:rFonts w:ascii="Garamond" w:hAnsi="Garamond"/>
                <w:lang w:eastAsia="ar-SA"/>
              </w:rPr>
              <w:t>nte la simulazione in real-time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lastRenderedPageBreak/>
              <w:t>25</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Il simulatore deve essere in grado di pubblicare e sottoscrivere i messaggi in formato IEC 61850 GOOSE per i dati binari (ad esempio stato dell'interruttore e scatto) e analogici.</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26</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 xml:space="preserve">Il simulatore deve essere in grado di pubblicare e sottoscrivere i messaggi GOOSE ed essere in grado di agire come (minimo) 4 dispositivi elettronici intelligenti separati (IED). Ciascuno di questi IED deve essere in grado di pubblicare e sottoscrivere un minimo di 32 punti, sia booleani che a virgola mobile, oltre a bitmap di qualità. In totale 256 punti per la pubblicazione e </w:t>
            </w:r>
            <w:r w:rsidR="00185B5E" w:rsidRPr="004C47A3">
              <w:rPr>
                <w:rFonts w:ascii="Garamond" w:hAnsi="Garamond"/>
                <w:lang w:eastAsia="ar-SA"/>
              </w:rPr>
              <w:t>256 punti per la sottoscrizione</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27</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Il simulatore deve anche essere in grado di abbonarsi ai messaggi GOOSE da un minimo di 16 IED separati.</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28</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Il simulatore deve essere in grado di simulare e fornire l'uscita un flusso di dati simulando un minimo di ventiquattro (24) unità di misura PMU con frame rate assegnabili singolarmente fino a 50/60 frame al secondo.</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29</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Il simulatore deve essere in grado di fungere da unità slave per la comunicazione con apparecchiature SCADA utilizzando il protocollo DNP 3.0 o IEC 60870-5-104.</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30</w:t>
            </w:r>
          </w:p>
        </w:tc>
        <w:tc>
          <w:tcPr>
            <w:tcW w:w="4681" w:type="dxa"/>
          </w:tcPr>
          <w:p w:rsidR="00A072ED" w:rsidRPr="004C47A3" w:rsidRDefault="00A072ED" w:rsidP="00AF5771">
            <w:pPr>
              <w:suppressAutoHyphens/>
              <w:spacing w:line="360" w:lineRule="auto"/>
              <w:jc w:val="both"/>
              <w:rPr>
                <w:rFonts w:ascii="Garamond" w:hAnsi="Garamond"/>
                <w:lang w:eastAsia="ar-SA"/>
              </w:rPr>
            </w:pPr>
            <w:r w:rsidRPr="004C47A3">
              <w:rPr>
                <w:rFonts w:ascii="Garamond" w:hAnsi="Garamond"/>
                <w:lang w:eastAsia="ar-SA"/>
              </w:rPr>
              <w:t xml:space="preserve">Il simulatore deve essere in grado di operare come server </w:t>
            </w:r>
            <w:proofErr w:type="spellStart"/>
            <w:r w:rsidRPr="004C47A3">
              <w:rPr>
                <w:rFonts w:ascii="Garamond" w:hAnsi="Garamond"/>
                <w:lang w:eastAsia="ar-SA"/>
              </w:rPr>
              <w:t>Modbus</w:t>
            </w:r>
            <w:proofErr w:type="spellEnd"/>
            <w:r w:rsidRPr="004C47A3">
              <w:rPr>
                <w:rFonts w:ascii="Garamond" w:hAnsi="Garamond"/>
                <w:lang w:eastAsia="ar-SA"/>
              </w:rPr>
              <w:t xml:space="preserve"> (slave) che comunica con una stazione master </w:t>
            </w:r>
            <w:proofErr w:type="spellStart"/>
            <w:r w:rsidRPr="004C47A3">
              <w:rPr>
                <w:rFonts w:ascii="Garamond" w:hAnsi="Garamond"/>
                <w:lang w:eastAsia="ar-SA"/>
              </w:rPr>
              <w:t>Modbus</w:t>
            </w:r>
            <w:proofErr w:type="spellEnd"/>
            <w:r w:rsidRPr="004C47A3">
              <w:rPr>
                <w:rFonts w:ascii="Garamond" w:hAnsi="Garamond"/>
                <w:lang w:eastAsia="ar-SA"/>
              </w:rPr>
              <w:t xml:space="preserve"> (un IED su hardware dedicato o una workstation computer che esegue un'API master </w:t>
            </w:r>
            <w:proofErr w:type="spellStart"/>
            <w:r w:rsidRPr="004C47A3">
              <w:rPr>
                <w:rFonts w:ascii="Garamond" w:hAnsi="Garamond"/>
                <w:lang w:eastAsia="ar-SA"/>
              </w:rPr>
              <w:t>Modbus</w:t>
            </w:r>
            <w:proofErr w:type="spellEnd"/>
            <w:r w:rsidRPr="004C47A3">
              <w:rPr>
                <w:rFonts w:ascii="Garamond" w:hAnsi="Garamond"/>
                <w:lang w:eastAsia="ar-SA"/>
              </w:rPr>
              <w:t>)</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r w:rsidR="00A072ED" w:rsidRPr="00F51AA0" w:rsidTr="00D01D6B">
        <w:tc>
          <w:tcPr>
            <w:tcW w:w="423" w:type="dxa"/>
          </w:tcPr>
          <w:p w:rsidR="00A072ED" w:rsidRPr="004C47A3" w:rsidRDefault="00A072ED" w:rsidP="00CE5679">
            <w:pPr>
              <w:widowControl w:val="0"/>
              <w:tabs>
                <w:tab w:val="right" w:leader="underscore" w:pos="9600"/>
              </w:tabs>
              <w:spacing w:line="360" w:lineRule="auto"/>
              <w:jc w:val="both"/>
              <w:rPr>
                <w:rFonts w:ascii="Garamond" w:eastAsia="Calibri" w:hAnsi="Garamond"/>
              </w:rPr>
            </w:pPr>
            <w:r w:rsidRPr="004C47A3">
              <w:rPr>
                <w:rFonts w:ascii="Garamond" w:eastAsia="Calibri" w:hAnsi="Garamond"/>
              </w:rPr>
              <w:t>31</w:t>
            </w:r>
          </w:p>
        </w:tc>
        <w:tc>
          <w:tcPr>
            <w:tcW w:w="4681" w:type="dxa"/>
          </w:tcPr>
          <w:p w:rsidR="00A072ED" w:rsidRPr="004C47A3" w:rsidRDefault="00A072ED" w:rsidP="00AF5771">
            <w:pPr>
              <w:rPr>
                <w:rFonts w:ascii="Garamond" w:hAnsi="Garamond"/>
                <w:lang w:eastAsia="ar-SA"/>
              </w:rPr>
            </w:pPr>
            <w:r w:rsidRPr="004C47A3">
              <w:rPr>
                <w:rFonts w:ascii="Garamond" w:hAnsi="Garamond"/>
                <w:lang w:eastAsia="ar-SA"/>
              </w:rPr>
              <w:t>Consegna e messa in servizio inclusi</w:t>
            </w:r>
          </w:p>
        </w:tc>
        <w:tc>
          <w:tcPr>
            <w:tcW w:w="1416" w:type="dxa"/>
          </w:tcPr>
          <w:p w:rsidR="00A072ED" w:rsidRPr="00F51AA0" w:rsidRDefault="00A072ED" w:rsidP="00CE5679">
            <w:pPr>
              <w:widowControl w:val="0"/>
              <w:tabs>
                <w:tab w:val="right" w:leader="underscore" w:pos="9600"/>
              </w:tabs>
              <w:spacing w:line="360" w:lineRule="auto"/>
              <w:rPr>
                <w:rFonts w:ascii="Garamond" w:eastAsia="Calibri" w:hAnsi="Garamond"/>
              </w:rPr>
            </w:pPr>
          </w:p>
        </w:tc>
        <w:tc>
          <w:tcPr>
            <w:tcW w:w="3262" w:type="dxa"/>
          </w:tcPr>
          <w:p w:rsidR="00A072ED" w:rsidRPr="00F51AA0" w:rsidRDefault="00A072ED" w:rsidP="00CE5679">
            <w:pPr>
              <w:widowControl w:val="0"/>
              <w:tabs>
                <w:tab w:val="right" w:leader="underscore" w:pos="9600"/>
              </w:tabs>
              <w:spacing w:line="360" w:lineRule="auto"/>
              <w:rPr>
                <w:rFonts w:ascii="Garamond" w:eastAsia="Calibri" w:hAnsi="Garamond"/>
              </w:rPr>
            </w:pPr>
          </w:p>
        </w:tc>
      </w:tr>
    </w:tbl>
    <w:p w:rsidR="00EC1FF9" w:rsidRDefault="004C47A3" w:rsidP="00EC1FF9">
      <w:pPr>
        <w:tabs>
          <w:tab w:val="left" w:pos="250"/>
          <w:tab w:val="left" w:pos="3894"/>
        </w:tabs>
        <w:rPr>
          <w:b/>
          <w:sz w:val="20"/>
          <w:szCs w:val="20"/>
        </w:rPr>
      </w:pPr>
      <w:r>
        <w:rPr>
          <w:b/>
          <w:sz w:val="20"/>
          <w:szCs w:val="20"/>
        </w:rPr>
        <w:tab/>
      </w:r>
    </w:p>
    <w:p w:rsidR="00EC1FF9" w:rsidRDefault="00EC1FF9" w:rsidP="00EC1FF9">
      <w:pPr>
        <w:tabs>
          <w:tab w:val="left" w:pos="250"/>
          <w:tab w:val="left" w:pos="3894"/>
        </w:tabs>
        <w:rPr>
          <w:b/>
          <w:sz w:val="20"/>
          <w:szCs w:val="20"/>
        </w:rPr>
      </w:pPr>
    </w:p>
    <w:p w:rsidR="00EC1FF9" w:rsidRDefault="00EC1FF9" w:rsidP="00EC1FF9">
      <w:pPr>
        <w:tabs>
          <w:tab w:val="left" w:pos="250"/>
          <w:tab w:val="left" w:pos="3894"/>
        </w:tabs>
        <w:rPr>
          <w:b/>
          <w:sz w:val="20"/>
          <w:szCs w:val="20"/>
        </w:rPr>
      </w:pPr>
    </w:p>
    <w:p w:rsidR="00EC1FF9" w:rsidRDefault="00EC1FF9" w:rsidP="00EC1FF9">
      <w:pPr>
        <w:tabs>
          <w:tab w:val="left" w:pos="250"/>
          <w:tab w:val="left" w:pos="3894"/>
        </w:tabs>
        <w:rPr>
          <w:b/>
          <w:sz w:val="20"/>
          <w:szCs w:val="20"/>
        </w:rPr>
      </w:pPr>
    </w:p>
    <w:p w:rsidR="0093385B" w:rsidRPr="0093385B" w:rsidRDefault="00EC1FF9" w:rsidP="00EC1FF9">
      <w:pPr>
        <w:tabs>
          <w:tab w:val="left" w:pos="250"/>
          <w:tab w:val="left" w:pos="3894"/>
        </w:tabs>
        <w:rPr>
          <w:b/>
          <w:sz w:val="20"/>
          <w:szCs w:val="20"/>
        </w:rPr>
      </w:pPr>
      <w:r>
        <w:rPr>
          <w:b/>
          <w:sz w:val="20"/>
          <w:szCs w:val="20"/>
        </w:rPr>
        <w:tab/>
      </w:r>
    </w:p>
    <w:p w:rsidR="00226433" w:rsidRDefault="00226433" w:rsidP="00226433">
      <w:pPr>
        <w:spacing w:after="0" w:line="360" w:lineRule="auto"/>
        <w:jc w:val="both"/>
        <w:rPr>
          <w:rFonts w:ascii="Garamond" w:eastAsia="Calibri" w:hAnsi="Garamond" w:cstheme="minorHAnsi"/>
          <w:b/>
          <w:i/>
          <w:lang w:eastAsia="it-IT"/>
        </w:rPr>
      </w:pPr>
      <w:r w:rsidRPr="00B67E24">
        <w:rPr>
          <w:rFonts w:ascii="Garamond" w:hAnsi="Garamond"/>
          <w:b/>
        </w:rPr>
        <w:lastRenderedPageBreak/>
        <w:t xml:space="preserve">Nella Tabella sottostante </w:t>
      </w:r>
      <w:r w:rsidRPr="00B67E24">
        <w:rPr>
          <w:rFonts w:ascii="Garamond" w:eastAsia="Calibri" w:hAnsi="Garamond" w:cstheme="minorHAnsi"/>
          <w:b/>
          <w:i/>
          <w:lang w:eastAsia="it-IT"/>
        </w:rPr>
        <w:t>apporre una “X” in corrispondenza dell’elemento tecnico premiale offerto.</w:t>
      </w:r>
    </w:p>
    <w:p w:rsidR="0093385B" w:rsidRPr="0093385B" w:rsidRDefault="0093385B" w:rsidP="0093385B">
      <w:pPr>
        <w:spacing w:after="0" w:line="360" w:lineRule="auto"/>
        <w:jc w:val="both"/>
        <w:rPr>
          <w:rFonts w:ascii="Garamond" w:eastAsia="Calibri" w:hAnsi="Garamond" w:cs="Times New Roman"/>
          <w:i/>
          <w:sz w:val="24"/>
          <w:szCs w:val="24"/>
          <w:lang w:eastAsia="it-IT"/>
        </w:rPr>
      </w:pPr>
      <w:r w:rsidRPr="0093385B">
        <w:rPr>
          <w:rFonts w:ascii="Garamond" w:eastAsia="Calibri" w:hAnsi="Garamond" w:cs="Times New Roman"/>
          <w:i/>
          <w:sz w:val="24"/>
          <w:szCs w:val="24"/>
          <w:lang w:eastAsia="it-IT"/>
        </w:rPr>
        <w:t>Tabella 2</w:t>
      </w:r>
    </w:p>
    <w:p w:rsidR="0093385B" w:rsidRPr="005179A1" w:rsidRDefault="0093385B" w:rsidP="0093385B">
      <w:pPr>
        <w:pBdr>
          <w:top w:val="single" w:sz="4" w:space="1" w:color="auto"/>
          <w:left w:val="single" w:sz="4" w:space="1" w:color="auto"/>
          <w:bottom w:val="single" w:sz="4" w:space="1" w:color="auto"/>
          <w:right w:val="single" w:sz="4" w:space="0" w:color="auto"/>
        </w:pBdr>
        <w:spacing w:after="0" w:line="360" w:lineRule="auto"/>
        <w:jc w:val="both"/>
        <w:rPr>
          <w:rFonts w:ascii="Times New Roman" w:eastAsia="Calibri" w:hAnsi="Times New Roman" w:cs="Times New Roman"/>
          <w:b/>
          <w:lang w:eastAsia="it-IT"/>
        </w:rPr>
      </w:pPr>
    </w:p>
    <w:tbl>
      <w:tblPr>
        <w:tblStyle w:val="Grigliatabella"/>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203"/>
        <w:gridCol w:w="244"/>
        <w:gridCol w:w="1361"/>
        <w:gridCol w:w="328"/>
        <w:gridCol w:w="3602"/>
        <w:gridCol w:w="8"/>
      </w:tblGrid>
      <w:tr w:rsidR="0093385B" w:rsidRPr="0093385B" w:rsidTr="00C214F3">
        <w:trPr>
          <w:trHeight w:val="340"/>
        </w:trPr>
        <w:tc>
          <w:tcPr>
            <w:tcW w:w="9854" w:type="dxa"/>
            <w:gridSpan w:val="7"/>
            <w:shd w:val="clear" w:color="auto" w:fill="DBE5F1" w:themeFill="accent1" w:themeFillTint="33"/>
          </w:tcPr>
          <w:p w:rsidR="0093385B" w:rsidRPr="00255D97" w:rsidRDefault="0093385B" w:rsidP="0050791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255D97">
              <w:rPr>
                <w:rFonts w:ascii="Garamond" w:eastAsia="Calibri" w:hAnsi="Garamond" w:cs="Times New Roman"/>
                <w:b/>
                <w:bCs/>
                <w:lang w:eastAsia="it-IT"/>
              </w:rPr>
              <w:t xml:space="preserve">EV1 </w:t>
            </w:r>
          </w:p>
        </w:tc>
      </w:tr>
      <w:tr w:rsidR="0093385B" w:rsidRPr="0093385B" w:rsidTr="00EC1FF9">
        <w:trPr>
          <w:trHeight w:val="340"/>
        </w:trPr>
        <w:tc>
          <w:tcPr>
            <w:tcW w:w="4555" w:type="dxa"/>
            <w:gridSpan w:val="3"/>
            <w:tcBorders>
              <w:right w:val="single" w:sz="4" w:space="0" w:color="auto"/>
            </w:tcBorders>
            <w:vAlign w:val="center"/>
          </w:tcPr>
          <w:p w:rsidR="0093385B" w:rsidRPr="00E45259" w:rsidRDefault="00A73599" w:rsidP="00850AA0">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jc w:val="both"/>
              <w:rPr>
                <w:rFonts w:ascii="Garamond" w:eastAsia="Calibri" w:hAnsi="Garamond" w:cs="Times New Roman"/>
                <w:lang w:eastAsia="it-IT"/>
              </w:rPr>
            </w:pPr>
            <w:r w:rsidRPr="00A73599">
              <w:rPr>
                <w:rFonts w:ascii="Garamond" w:eastAsia="Calibri" w:hAnsi="Garamond" w:cs="Times New Roman"/>
                <w:lang w:eastAsia="it-IT"/>
              </w:rPr>
              <w:t xml:space="preserve">Training gratuito incluso della durata di una settimana (minimo 6 ore al giorno) presso il Politecnico di Torino per almeno 4 partecipanti. Il training dovrà essere tenuto nel laboratorio dove sarà installato il sistema di simulazione real-time. Dovrà permettere ai partecipanti di acquisire le competenze necessarie per la simulazione dei sistemi elettrici; dovrà affrontare in particolare le modalità di costruzione del modello del sistema elettrico, l’impostazione dei parametri di simulazione, l’esecuzione della simulazione e l’estrazione dei risultati. Ulteriore tematica che dovrà essere affrontata è l’utilizzo degli ingressi e delle uscite analogiche e digitali per l’esecuzione di Hardware in the </w:t>
            </w:r>
            <w:proofErr w:type="spellStart"/>
            <w:r w:rsidRPr="00A73599">
              <w:rPr>
                <w:rFonts w:ascii="Garamond" w:eastAsia="Calibri" w:hAnsi="Garamond" w:cs="Times New Roman"/>
                <w:lang w:eastAsia="it-IT"/>
              </w:rPr>
              <w:t>loop</w:t>
            </w:r>
            <w:proofErr w:type="spellEnd"/>
            <w:r w:rsidRPr="00A73599">
              <w:rPr>
                <w:rFonts w:ascii="Garamond" w:eastAsia="Calibri" w:hAnsi="Garamond" w:cs="Times New Roman"/>
                <w:lang w:eastAsia="it-IT"/>
              </w:rPr>
              <w:t>. I docenti dovranno essere tecnici qualificati, con esperienza di almeno 4</w:t>
            </w:r>
            <w:r>
              <w:rPr>
                <w:rFonts w:ascii="Garamond" w:eastAsia="Calibri" w:hAnsi="Garamond" w:cs="Times New Roman"/>
                <w:lang w:eastAsia="it-IT"/>
              </w:rPr>
              <w:t xml:space="preserve"> anni</w:t>
            </w:r>
          </w:p>
        </w:tc>
        <w:tc>
          <w:tcPr>
            <w:tcW w:w="1689" w:type="dxa"/>
            <w:gridSpan w:val="2"/>
            <w:tcBorders>
              <w:top w:val="single" w:sz="4" w:space="0" w:color="auto"/>
              <w:left w:val="single" w:sz="4" w:space="0" w:color="auto"/>
              <w:bottom w:val="single" w:sz="4" w:space="0" w:color="auto"/>
              <w:right w:val="single" w:sz="4" w:space="0" w:color="auto"/>
            </w:tcBorders>
            <w:vAlign w:val="center"/>
          </w:tcPr>
          <w:p w:rsidR="0093385B" w:rsidRPr="00255D97"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p>
        </w:tc>
        <w:tc>
          <w:tcPr>
            <w:tcW w:w="3610" w:type="dxa"/>
            <w:gridSpan w:val="2"/>
            <w:tcBorders>
              <w:top w:val="single" w:sz="4" w:space="0" w:color="auto"/>
              <w:left w:val="single" w:sz="4" w:space="0" w:color="auto"/>
              <w:bottom w:val="single" w:sz="4" w:space="0" w:color="auto"/>
              <w:right w:val="single" w:sz="4" w:space="0" w:color="auto"/>
            </w:tcBorders>
            <w:vAlign w:val="center"/>
          </w:tcPr>
          <w:p w:rsidR="0093385B" w:rsidRPr="00255D97"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255D97">
              <w:rPr>
                <w:rFonts w:ascii="Garamond" w:eastAsia="Calibri" w:hAnsi="Garamond" w:cs="Times New Roman"/>
                <w:lang w:eastAsia="it-IT"/>
              </w:rPr>
              <w:t>Pg</w:t>
            </w:r>
            <w:proofErr w:type="spellEnd"/>
            <w:r w:rsidRPr="00255D97">
              <w:rPr>
                <w:rFonts w:ascii="Garamond" w:eastAsia="Calibri" w:hAnsi="Garamond" w:cs="Times New Roman"/>
                <w:lang w:eastAsia="it-IT"/>
              </w:rPr>
              <w:t xml:space="preserve"> N.</w:t>
            </w:r>
          </w:p>
        </w:tc>
      </w:tr>
      <w:tr w:rsidR="0093385B" w:rsidRPr="0093385B" w:rsidTr="00C214F3">
        <w:trPr>
          <w:trHeight w:val="340"/>
        </w:trPr>
        <w:tc>
          <w:tcPr>
            <w:tcW w:w="9854" w:type="dxa"/>
            <w:gridSpan w:val="7"/>
          </w:tcPr>
          <w:p w:rsidR="0093385B" w:rsidRPr="00255D97"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255D97">
              <w:rPr>
                <w:rFonts w:ascii="Garamond" w:eastAsia="Calibri" w:hAnsi="Garamond" w:cs="Times New Roman"/>
                <w:lang w:eastAsia="it-IT"/>
              </w:rPr>
              <w:t xml:space="preserve"> indicare il n. di pagina della scheda tecnica dalla quale si evinca la presenza dell'elemento oggetto di valutazione</w:t>
            </w:r>
          </w:p>
        </w:tc>
      </w:tr>
      <w:tr w:rsidR="0093385B" w:rsidRPr="0093385B" w:rsidTr="00C214F3">
        <w:trPr>
          <w:trHeight w:val="340"/>
        </w:trPr>
        <w:tc>
          <w:tcPr>
            <w:tcW w:w="9854" w:type="dxa"/>
            <w:gridSpan w:val="7"/>
          </w:tcPr>
          <w:p w:rsidR="0093385B" w:rsidRPr="0093385B"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highlight w:val="yellow"/>
                <w:lang w:eastAsia="it-IT"/>
              </w:rPr>
            </w:pPr>
          </w:p>
        </w:tc>
      </w:tr>
      <w:tr w:rsidR="0093385B" w:rsidRPr="0093385B" w:rsidTr="00C214F3">
        <w:trPr>
          <w:trHeight w:val="340"/>
        </w:trPr>
        <w:tc>
          <w:tcPr>
            <w:tcW w:w="9854" w:type="dxa"/>
            <w:gridSpan w:val="7"/>
            <w:shd w:val="clear" w:color="auto" w:fill="DBE5F1" w:themeFill="accent1" w:themeFillTint="33"/>
          </w:tcPr>
          <w:p w:rsidR="0093385B" w:rsidRPr="00507912" w:rsidRDefault="0093385B" w:rsidP="0050791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507912">
              <w:rPr>
                <w:rFonts w:ascii="Garamond" w:eastAsia="Calibri" w:hAnsi="Garamond" w:cs="Times New Roman"/>
                <w:b/>
                <w:bCs/>
                <w:lang w:eastAsia="it-IT"/>
              </w:rPr>
              <w:t xml:space="preserve">EV2 </w:t>
            </w:r>
          </w:p>
        </w:tc>
      </w:tr>
      <w:tr w:rsidR="0093385B" w:rsidRPr="0093385B" w:rsidTr="00C214F3">
        <w:trPr>
          <w:trHeight w:val="340"/>
        </w:trPr>
        <w:tc>
          <w:tcPr>
            <w:tcW w:w="4555" w:type="dxa"/>
            <w:gridSpan w:val="3"/>
            <w:vAlign w:val="center"/>
          </w:tcPr>
          <w:p w:rsidR="0093385B" w:rsidRPr="00E45259" w:rsidRDefault="004A0C8E" w:rsidP="000C17E1">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4A0C8E">
              <w:rPr>
                <w:rFonts w:ascii="Garamond" w:eastAsia="Calibri" w:hAnsi="Garamond" w:cs="Times New Roman"/>
                <w:lang w:eastAsia="it-IT"/>
              </w:rPr>
              <w:t xml:space="preserve">32 input digitali </w:t>
            </w:r>
            <w:r w:rsidR="000C17E1">
              <w:rPr>
                <w:rFonts w:ascii="Garamond" w:eastAsia="Calibri" w:hAnsi="Garamond" w:cs="Times New Roman"/>
                <w:lang w:eastAsia="it-IT"/>
              </w:rPr>
              <w:t>in aggiunta ai minimi richiesti con analoghe caratteristiche</w:t>
            </w:r>
          </w:p>
        </w:tc>
        <w:tc>
          <w:tcPr>
            <w:tcW w:w="1689" w:type="dxa"/>
            <w:gridSpan w:val="2"/>
            <w:vAlign w:val="center"/>
          </w:tcPr>
          <w:p w:rsidR="0093385B" w:rsidRPr="00507912"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sym w:font="Webdings" w:char="F063"/>
            </w:r>
          </w:p>
        </w:tc>
        <w:tc>
          <w:tcPr>
            <w:tcW w:w="3610" w:type="dxa"/>
            <w:gridSpan w:val="2"/>
            <w:vAlign w:val="center"/>
          </w:tcPr>
          <w:p w:rsidR="0093385B" w:rsidRPr="00507912"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507912">
              <w:rPr>
                <w:rFonts w:ascii="Garamond" w:eastAsia="Calibri" w:hAnsi="Garamond" w:cs="Times New Roman"/>
                <w:lang w:eastAsia="it-IT"/>
              </w:rPr>
              <w:t>Pg</w:t>
            </w:r>
            <w:proofErr w:type="spellEnd"/>
            <w:r w:rsidRPr="00507912">
              <w:rPr>
                <w:rFonts w:ascii="Garamond" w:eastAsia="Calibri" w:hAnsi="Garamond" w:cs="Times New Roman"/>
                <w:lang w:eastAsia="it-IT"/>
              </w:rPr>
              <w:t xml:space="preserve"> N.</w:t>
            </w:r>
          </w:p>
        </w:tc>
      </w:tr>
      <w:tr w:rsidR="0093385B" w:rsidRPr="0093385B" w:rsidTr="00C214F3">
        <w:trPr>
          <w:trHeight w:val="340"/>
        </w:trPr>
        <w:tc>
          <w:tcPr>
            <w:tcW w:w="9854" w:type="dxa"/>
            <w:gridSpan w:val="7"/>
          </w:tcPr>
          <w:p w:rsidR="0093385B" w:rsidRPr="00507912"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507912">
              <w:rPr>
                <w:rFonts w:ascii="Garamond" w:eastAsia="Calibri" w:hAnsi="Garamond" w:cs="Times New Roman"/>
                <w:lang w:eastAsia="it-IT"/>
              </w:rPr>
              <w:t xml:space="preserve"> indicare il n. di pagina della scheda tecnica dalla quale si evinca la presenza dell'elemento oggetto di valutazione</w:t>
            </w:r>
          </w:p>
        </w:tc>
      </w:tr>
      <w:tr w:rsidR="0093385B" w:rsidRPr="0093385B" w:rsidTr="00C214F3">
        <w:trPr>
          <w:trHeight w:val="340"/>
        </w:trPr>
        <w:tc>
          <w:tcPr>
            <w:tcW w:w="9854" w:type="dxa"/>
            <w:gridSpan w:val="7"/>
          </w:tcPr>
          <w:p w:rsidR="0093385B" w:rsidRPr="0093385B" w:rsidRDefault="0093385B"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highlight w:val="yellow"/>
                <w:lang w:eastAsia="it-IT"/>
              </w:rPr>
            </w:pPr>
          </w:p>
        </w:tc>
      </w:tr>
      <w:tr w:rsidR="0093385B" w:rsidRPr="0093385B" w:rsidTr="00C214F3">
        <w:trPr>
          <w:trHeight w:val="340"/>
        </w:trPr>
        <w:tc>
          <w:tcPr>
            <w:tcW w:w="9854" w:type="dxa"/>
            <w:gridSpan w:val="7"/>
            <w:shd w:val="clear" w:color="auto" w:fill="DBE5F1" w:themeFill="accent1" w:themeFillTint="33"/>
          </w:tcPr>
          <w:p w:rsidR="0093385B" w:rsidRPr="00255D97" w:rsidRDefault="0093385B" w:rsidP="0050791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255D97">
              <w:rPr>
                <w:rFonts w:ascii="Garamond" w:eastAsia="Calibri" w:hAnsi="Garamond" w:cs="Times New Roman"/>
                <w:b/>
                <w:lang w:eastAsia="it-IT"/>
              </w:rPr>
              <w:t xml:space="preserve">EV3 </w:t>
            </w:r>
          </w:p>
        </w:tc>
      </w:tr>
      <w:tr w:rsidR="00E45259" w:rsidRPr="0093385B" w:rsidTr="00165B98">
        <w:trPr>
          <w:gridBefore w:val="1"/>
          <w:wBefore w:w="108" w:type="dxa"/>
          <w:trHeight w:val="340"/>
        </w:trPr>
        <w:tc>
          <w:tcPr>
            <w:tcW w:w="4447" w:type="dxa"/>
            <w:gridSpan w:val="2"/>
            <w:tcBorders>
              <w:top w:val="single" w:sz="4" w:space="0" w:color="auto"/>
              <w:left w:val="single" w:sz="4" w:space="0" w:color="auto"/>
              <w:bottom w:val="single" w:sz="4" w:space="0" w:color="auto"/>
              <w:right w:val="single" w:sz="4" w:space="0" w:color="auto"/>
            </w:tcBorders>
            <w:vAlign w:val="bottom"/>
          </w:tcPr>
          <w:p w:rsidR="00E45259" w:rsidRPr="00E45259" w:rsidRDefault="004A0C8E" w:rsidP="00165B98">
            <w:pPr>
              <w:widowControl w:val="0"/>
              <w:tabs>
                <w:tab w:val="right" w:leader="underscore" w:pos="9600"/>
              </w:tabs>
              <w:spacing w:line="360" w:lineRule="auto"/>
              <w:rPr>
                <w:rFonts w:ascii="Garamond" w:hAnsi="Garamond" w:cs="Calibri"/>
                <w:lang w:eastAsia="it-IT"/>
              </w:rPr>
            </w:pPr>
            <w:r w:rsidRPr="00165B98">
              <w:rPr>
                <w:rFonts w:ascii="Garamond" w:eastAsia="Calibri" w:hAnsi="Garamond" w:cs="Times New Roman"/>
                <w:lang w:eastAsia="it-IT"/>
              </w:rPr>
              <w:t xml:space="preserve">32 output digitali </w:t>
            </w:r>
            <w:r w:rsidR="000C17E1">
              <w:rPr>
                <w:rFonts w:ascii="Garamond" w:eastAsia="Calibri" w:hAnsi="Garamond" w:cs="Times New Roman"/>
                <w:lang w:eastAsia="it-IT"/>
              </w:rPr>
              <w:t>in aggiunta ai minimi richiesti con analoghe caratteristiche</w:t>
            </w:r>
          </w:p>
        </w:tc>
        <w:tc>
          <w:tcPr>
            <w:tcW w:w="1689" w:type="dxa"/>
            <w:gridSpan w:val="2"/>
            <w:tcBorders>
              <w:left w:val="single" w:sz="4" w:space="0" w:color="auto"/>
            </w:tcBorders>
            <w:vAlign w:val="center"/>
          </w:tcPr>
          <w:p w:rsidR="00E45259" w:rsidRPr="00255D97"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p>
        </w:tc>
        <w:tc>
          <w:tcPr>
            <w:tcW w:w="3610" w:type="dxa"/>
            <w:gridSpan w:val="2"/>
            <w:vAlign w:val="center"/>
          </w:tcPr>
          <w:p w:rsidR="00E45259" w:rsidRPr="00255D97"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255D97">
              <w:rPr>
                <w:rFonts w:ascii="Garamond" w:eastAsia="Calibri" w:hAnsi="Garamond" w:cs="Times New Roman"/>
                <w:lang w:eastAsia="it-IT"/>
              </w:rPr>
              <w:t>Pg</w:t>
            </w:r>
            <w:proofErr w:type="spellEnd"/>
            <w:r w:rsidRPr="00255D97">
              <w:rPr>
                <w:rFonts w:ascii="Garamond" w:eastAsia="Calibri" w:hAnsi="Garamond" w:cs="Times New Roman"/>
                <w:lang w:eastAsia="it-IT"/>
              </w:rPr>
              <w:t xml:space="preserve"> N.</w:t>
            </w:r>
          </w:p>
        </w:tc>
      </w:tr>
      <w:tr w:rsidR="00E45259" w:rsidRPr="0093385B" w:rsidTr="00C214F3">
        <w:trPr>
          <w:trHeight w:val="340"/>
        </w:trPr>
        <w:tc>
          <w:tcPr>
            <w:tcW w:w="9854" w:type="dxa"/>
            <w:gridSpan w:val="7"/>
          </w:tcPr>
          <w:p w:rsidR="00E45259" w:rsidRPr="00255D97"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255D97">
              <w:rPr>
                <w:rFonts w:ascii="Garamond" w:eastAsia="Calibri" w:hAnsi="Garamond" w:cs="Times New Roman"/>
                <w:lang w:eastAsia="it-IT"/>
              </w:rPr>
              <w:t xml:space="preserve"> indicare il n. di pagina della scheda tecnica dalla quale si evinca la presenza dell'elemento oggetto di valutazione</w:t>
            </w:r>
          </w:p>
        </w:tc>
      </w:tr>
      <w:tr w:rsidR="00E45259" w:rsidRPr="0093385B" w:rsidTr="00C214F3">
        <w:trPr>
          <w:trHeight w:val="340"/>
        </w:trPr>
        <w:tc>
          <w:tcPr>
            <w:tcW w:w="9854" w:type="dxa"/>
            <w:gridSpan w:val="7"/>
          </w:tcPr>
          <w:p w:rsidR="00E45259" w:rsidRPr="008D4FB2"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p>
        </w:tc>
      </w:tr>
      <w:tr w:rsidR="00E45259" w:rsidRPr="0093385B" w:rsidTr="00C214F3">
        <w:trPr>
          <w:trHeight w:val="340"/>
        </w:trPr>
        <w:tc>
          <w:tcPr>
            <w:tcW w:w="9854" w:type="dxa"/>
            <w:gridSpan w:val="7"/>
            <w:shd w:val="clear" w:color="auto" w:fill="DBE5F1" w:themeFill="accent1" w:themeFillTint="33"/>
            <w:vAlign w:val="center"/>
          </w:tcPr>
          <w:p w:rsidR="00E45259" w:rsidRPr="007B360A" w:rsidRDefault="00E45259" w:rsidP="007B360A">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lang w:eastAsia="it-IT"/>
              </w:rPr>
              <w:lastRenderedPageBreak/>
              <w:t>EV4</w:t>
            </w:r>
          </w:p>
        </w:tc>
      </w:tr>
      <w:tr w:rsidR="00E45259" w:rsidRPr="0093385B" w:rsidTr="00C214F3">
        <w:trPr>
          <w:trHeight w:val="340"/>
        </w:trPr>
        <w:tc>
          <w:tcPr>
            <w:tcW w:w="4555" w:type="dxa"/>
            <w:gridSpan w:val="3"/>
            <w:vAlign w:val="center"/>
          </w:tcPr>
          <w:p w:rsidR="00E45259" w:rsidRPr="007B360A" w:rsidRDefault="004A0C8E" w:rsidP="001E1005">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jc w:val="both"/>
              <w:rPr>
                <w:rFonts w:ascii="Garamond" w:eastAsia="Calibri" w:hAnsi="Garamond" w:cs="Times New Roman"/>
                <w:lang w:eastAsia="it-IT"/>
              </w:rPr>
            </w:pPr>
            <w:r w:rsidRPr="004A0C8E">
              <w:rPr>
                <w:rFonts w:ascii="Garamond" w:eastAsia="Calibri" w:hAnsi="Garamond" w:cs="Times New Roman"/>
                <w:lang w:eastAsia="it-IT"/>
              </w:rPr>
              <w:t xml:space="preserve">In totale 60 canali di ingresso digitale con </w:t>
            </w:r>
            <w:proofErr w:type="spellStart"/>
            <w:r w:rsidRPr="004A0C8E">
              <w:rPr>
                <w:rFonts w:ascii="Garamond" w:eastAsia="Calibri" w:hAnsi="Garamond" w:cs="Times New Roman"/>
                <w:lang w:eastAsia="it-IT"/>
              </w:rPr>
              <w:t>timestamp</w:t>
            </w:r>
            <w:proofErr w:type="spellEnd"/>
            <w:r w:rsidRPr="004A0C8E">
              <w:rPr>
                <w:rFonts w:ascii="Garamond" w:eastAsia="Calibri" w:hAnsi="Garamond" w:cs="Times New Roman"/>
                <w:lang w:eastAsia="it-IT"/>
              </w:rPr>
              <w:t xml:space="preserve"> con accuratezza migliore di 300ns</w:t>
            </w:r>
          </w:p>
        </w:tc>
        <w:tc>
          <w:tcPr>
            <w:tcW w:w="1689" w:type="dxa"/>
            <w:gridSpan w:val="2"/>
            <w:vAlign w:val="center"/>
          </w:tcPr>
          <w:p w:rsidR="00E45259" w:rsidRPr="007B360A"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sym w:font="Webdings" w:char="F063"/>
            </w:r>
          </w:p>
        </w:tc>
        <w:tc>
          <w:tcPr>
            <w:tcW w:w="3610" w:type="dxa"/>
            <w:gridSpan w:val="2"/>
            <w:vAlign w:val="center"/>
          </w:tcPr>
          <w:p w:rsidR="00E45259" w:rsidRPr="007B360A"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7B360A">
              <w:rPr>
                <w:rFonts w:ascii="Garamond" w:eastAsia="Calibri" w:hAnsi="Garamond" w:cs="Times New Roman"/>
                <w:lang w:eastAsia="it-IT"/>
              </w:rPr>
              <w:t>Pg</w:t>
            </w:r>
            <w:proofErr w:type="spellEnd"/>
            <w:r w:rsidRPr="007B360A">
              <w:rPr>
                <w:rFonts w:ascii="Garamond" w:eastAsia="Calibri" w:hAnsi="Garamond" w:cs="Times New Roman"/>
                <w:lang w:eastAsia="it-IT"/>
              </w:rPr>
              <w:t xml:space="preserve"> N.</w:t>
            </w:r>
          </w:p>
        </w:tc>
      </w:tr>
      <w:tr w:rsidR="00E45259" w:rsidRPr="0093385B" w:rsidTr="00C214F3">
        <w:trPr>
          <w:trHeight w:val="340"/>
        </w:trPr>
        <w:tc>
          <w:tcPr>
            <w:tcW w:w="9854" w:type="dxa"/>
            <w:gridSpan w:val="7"/>
            <w:vAlign w:val="center"/>
          </w:tcPr>
          <w:p w:rsidR="00E45259" w:rsidRPr="007B360A"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7B360A">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7B360A">
              <w:rPr>
                <w:rFonts w:ascii="Garamond" w:eastAsia="Calibri" w:hAnsi="Garamond" w:cs="Times New Roman"/>
                <w:lang w:eastAsia="it-IT"/>
              </w:rPr>
              <w:t xml:space="preserve"> indicare il n. di pagina della scheda tecnica dalla quale si evinca la presenza dell'elemento oggetto di valutazione</w:t>
            </w:r>
          </w:p>
        </w:tc>
      </w:tr>
      <w:tr w:rsidR="00E45259" w:rsidRPr="0093385B" w:rsidTr="00C214F3">
        <w:trPr>
          <w:trHeight w:val="340"/>
        </w:trPr>
        <w:tc>
          <w:tcPr>
            <w:tcW w:w="9854" w:type="dxa"/>
            <w:gridSpan w:val="7"/>
            <w:shd w:val="clear" w:color="auto" w:fill="DBE5F1" w:themeFill="accent1" w:themeFillTint="33"/>
            <w:vAlign w:val="center"/>
          </w:tcPr>
          <w:p w:rsidR="00E45259" w:rsidRPr="00EE799C" w:rsidRDefault="00E45259" w:rsidP="00EE799C">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lang w:eastAsia="it-IT"/>
              </w:rPr>
              <w:t xml:space="preserve">EV 5 </w:t>
            </w:r>
          </w:p>
        </w:tc>
      </w:tr>
      <w:tr w:rsidR="00E45259" w:rsidRPr="0093385B" w:rsidTr="00C214F3">
        <w:trPr>
          <w:trHeight w:val="340"/>
        </w:trPr>
        <w:tc>
          <w:tcPr>
            <w:tcW w:w="4555" w:type="dxa"/>
            <w:gridSpan w:val="3"/>
            <w:vAlign w:val="center"/>
          </w:tcPr>
          <w:p w:rsidR="00E45259" w:rsidRPr="00EE799C" w:rsidRDefault="004A0C8E" w:rsidP="00197109">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jc w:val="both"/>
              <w:rPr>
                <w:rFonts w:ascii="Garamond" w:eastAsia="Calibri" w:hAnsi="Garamond" w:cs="Times New Roman"/>
                <w:lang w:eastAsia="it-IT"/>
              </w:rPr>
            </w:pPr>
            <w:r w:rsidRPr="004A0C8E">
              <w:rPr>
                <w:rFonts w:ascii="Garamond" w:eastAsia="Calibri" w:hAnsi="Garamond" w:cs="Times New Roman"/>
                <w:lang w:eastAsia="it-IT"/>
              </w:rPr>
              <w:t>Aggiornamenti</w:t>
            </w:r>
            <w:r w:rsidR="000C17E1">
              <w:rPr>
                <w:rFonts w:ascii="Garamond" w:eastAsia="Calibri" w:hAnsi="Garamond" w:cs="Times New Roman"/>
                <w:lang w:eastAsia="it-IT"/>
              </w:rPr>
              <w:t xml:space="preserve"> software gratuiti alle nuove versioni</w:t>
            </w:r>
            <w:r w:rsidR="00197109">
              <w:rPr>
                <w:rFonts w:ascii="Garamond" w:eastAsia="Calibri" w:hAnsi="Garamond" w:cs="Times New Roman"/>
                <w:lang w:eastAsia="it-IT"/>
              </w:rPr>
              <w:t xml:space="preserve"> </w:t>
            </w:r>
            <w:r w:rsidR="000C17E1">
              <w:rPr>
                <w:rFonts w:ascii="Garamond" w:eastAsia="Calibri" w:hAnsi="Garamond" w:cs="Times New Roman"/>
                <w:lang w:eastAsia="it-IT"/>
              </w:rPr>
              <w:t>inclusi per 9</w:t>
            </w:r>
            <w:r w:rsidRPr="004A0C8E">
              <w:rPr>
                <w:rFonts w:ascii="Garamond" w:eastAsia="Calibri" w:hAnsi="Garamond" w:cs="Times New Roman"/>
                <w:lang w:eastAsia="it-IT"/>
              </w:rPr>
              <w:t xml:space="preserve"> anni dalla data di consegna</w:t>
            </w:r>
          </w:p>
        </w:tc>
        <w:tc>
          <w:tcPr>
            <w:tcW w:w="1689" w:type="dxa"/>
            <w:gridSpan w:val="2"/>
            <w:vAlign w:val="center"/>
          </w:tcPr>
          <w:p w:rsidR="00E45259" w:rsidRPr="00EE799C"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sym w:font="Webdings" w:char="F063"/>
            </w:r>
          </w:p>
        </w:tc>
        <w:tc>
          <w:tcPr>
            <w:tcW w:w="3610" w:type="dxa"/>
            <w:gridSpan w:val="2"/>
            <w:vAlign w:val="center"/>
          </w:tcPr>
          <w:p w:rsidR="00E45259" w:rsidRPr="00EE799C"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EE799C">
              <w:rPr>
                <w:rFonts w:ascii="Garamond" w:eastAsia="Calibri" w:hAnsi="Garamond" w:cs="Times New Roman"/>
                <w:lang w:eastAsia="it-IT"/>
              </w:rPr>
              <w:t>Pg</w:t>
            </w:r>
            <w:proofErr w:type="spellEnd"/>
            <w:r w:rsidRPr="00EE799C">
              <w:rPr>
                <w:rFonts w:ascii="Garamond" w:eastAsia="Calibri" w:hAnsi="Garamond" w:cs="Times New Roman"/>
                <w:lang w:eastAsia="it-IT"/>
              </w:rPr>
              <w:t xml:space="preserve"> N.</w:t>
            </w:r>
          </w:p>
        </w:tc>
      </w:tr>
      <w:tr w:rsidR="00E45259" w:rsidRPr="0093385B" w:rsidTr="00C214F3">
        <w:trPr>
          <w:trHeight w:val="340"/>
        </w:trPr>
        <w:tc>
          <w:tcPr>
            <w:tcW w:w="9854" w:type="dxa"/>
            <w:gridSpan w:val="7"/>
            <w:vAlign w:val="center"/>
          </w:tcPr>
          <w:p w:rsidR="00E45259" w:rsidRPr="00EE799C"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EE799C">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EE799C">
              <w:rPr>
                <w:rFonts w:ascii="Garamond" w:eastAsia="Calibri" w:hAnsi="Garamond" w:cs="Times New Roman"/>
                <w:lang w:eastAsia="it-IT"/>
              </w:rPr>
              <w:t xml:space="preserve"> indicare il n. di pagina della scheda tecnica dalla quale si evinca la presenza dell'elemento oggetto di valutazione</w:t>
            </w:r>
          </w:p>
        </w:tc>
      </w:tr>
      <w:tr w:rsidR="00E45259" w:rsidRPr="0093385B" w:rsidTr="00C214F3">
        <w:trPr>
          <w:trHeight w:val="340"/>
        </w:trPr>
        <w:tc>
          <w:tcPr>
            <w:tcW w:w="9854" w:type="dxa"/>
            <w:gridSpan w:val="7"/>
            <w:shd w:val="clear" w:color="auto" w:fill="DBE5F1" w:themeFill="accent1" w:themeFillTint="33"/>
            <w:vAlign w:val="center"/>
          </w:tcPr>
          <w:p w:rsidR="00E45259" w:rsidRPr="00543C6D" w:rsidRDefault="00E45259" w:rsidP="008D4FB2">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lang w:eastAsia="it-IT"/>
              </w:rPr>
              <w:t>EV 6</w:t>
            </w:r>
          </w:p>
        </w:tc>
      </w:tr>
      <w:tr w:rsidR="00E45259" w:rsidRPr="0093385B" w:rsidTr="00C214F3">
        <w:trPr>
          <w:trHeight w:val="340"/>
        </w:trPr>
        <w:tc>
          <w:tcPr>
            <w:tcW w:w="4555" w:type="dxa"/>
            <w:gridSpan w:val="3"/>
            <w:vAlign w:val="center"/>
          </w:tcPr>
          <w:p w:rsidR="00E45259" w:rsidRPr="00543C6D" w:rsidRDefault="004A0C8E" w:rsidP="00FD4364">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jc w:val="both"/>
              <w:rPr>
                <w:rFonts w:ascii="Garamond" w:eastAsia="Calibri" w:hAnsi="Garamond" w:cs="Times New Roman"/>
                <w:lang w:eastAsia="it-IT"/>
              </w:rPr>
            </w:pPr>
            <w:r w:rsidRPr="004A0C8E">
              <w:rPr>
                <w:rFonts w:ascii="Garamond" w:eastAsia="Calibri" w:hAnsi="Garamond" w:cs="Times New Roman"/>
                <w:lang w:eastAsia="it-IT"/>
              </w:rPr>
              <w:t>Servizio di assistenza</w:t>
            </w:r>
            <w:r w:rsidR="000C17E1">
              <w:rPr>
                <w:rFonts w:ascii="Garamond" w:eastAsia="Calibri" w:hAnsi="Garamond" w:cs="Times New Roman"/>
                <w:lang w:eastAsia="it-IT"/>
              </w:rPr>
              <w:t xml:space="preserve"> tecnica gratuito incluso per 9</w:t>
            </w:r>
            <w:r w:rsidRPr="004A0C8E">
              <w:rPr>
                <w:rFonts w:ascii="Garamond" w:eastAsia="Calibri" w:hAnsi="Garamond" w:cs="Times New Roman"/>
                <w:lang w:eastAsia="it-IT"/>
              </w:rPr>
              <w:t xml:space="preserve"> anni dalla data di consegna</w:t>
            </w:r>
            <w:r w:rsidR="000C17E1">
              <w:rPr>
                <w:rFonts w:ascii="Garamond" w:eastAsia="Calibri" w:hAnsi="Garamond" w:cs="Times New Roman"/>
                <w:lang w:eastAsia="it-IT"/>
              </w:rPr>
              <w:t xml:space="preserve"> – presa in carico entro 3 gg lavorativi – assistenza tecnica in remoto</w:t>
            </w:r>
          </w:p>
        </w:tc>
        <w:tc>
          <w:tcPr>
            <w:tcW w:w="1689" w:type="dxa"/>
            <w:gridSpan w:val="2"/>
            <w:vAlign w:val="center"/>
          </w:tcPr>
          <w:p w:rsidR="00E45259" w:rsidRPr="00543C6D"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43C6D">
              <w:rPr>
                <w:rFonts w:ascii="Garamond" w:eastAsia="Calibri" w:hAnsi="Garamond" w:cs="Times New Roman"/>
                <w:lang w:eastAsia="it-IT"/>
              </w:rPr>
              <w:sym w:font="Webdings" w:char="F063"/>
            </w:r>
          </w:p>
        </w:tc>
        <w:tc>
          <w:tcPr>
            <w:tcW w:w="3610" w:type="dxa"/>
            <w:gridSpan w:val="2"/>
            <w:vAlign w:val="center"/>
          </w:tcPr>
          <w:p w:rsidR="00E45259" w:rsidRPr="00543C6D"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543C6D">
              <w:rPr>
                <w:rFonts w:ascii="Garamond" w:eastAsia="Calibri" w:hAnsi="Garamond" w:cs="Times New Roman"/>
                <w:lang w:eastAsia="it-IT"/>
              </w:rPr>
              <w:t>Pg</w:t>
            </w:r>
            <w:proofErr w:type="spellEnd"/>
            <w:r w:rsidRPr="00543C6D">
              <w:rPr>
                <w:rFonts w:ascii="Garamond" w:eastAsia="Calibri" w:hAnsi="Garamond" w:cs="Times New Roman"/>
                <w:lang w:eastAsia="it-IT"/>
              </w:rPr>
              <w:t xml:space="preserve"> N.</w:t>
            </w:r>
          </w:p>
        </w:tc>
      </w:tr>
      <w:tr w:rsidR="00E45259" w:rsidRPr="0093385B" w:rsidTr="00C214F3">
        <w:trPr>
          <w:trHeight w:val="340"/>
        </w:trPr>
        <w:tc>
          <w:tcPr>
            <w:tcW w:w="9854" w:type="dxa"/>
            <w:gridSpan w:val="7"/>
            <w:vAlign w:val="center"/>
          </w:tcPr>
          <w:p w:rsidR="00E45259" w:rsidRPr="00543C6D" w:rsidRDefault="00E45259"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43C6D">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543C6D">
              <w:rPr>
                <w:rFonts w:ascii="Garamond" w:eastAsia="Calibri" w:hAnsi="Garamond" w:cs="Times New Roman"/>
                <w:lang w:eastAsia="it-IT"/>
              </w:rPr>
              <w:t xml:space="preserve"> indicare il n. di pagina della scheda tecnica dalla quale si evinca la presenza dell'elemento oggetto di valutazione</w:t>
            </w:r>
          </w:p>
        </w:tc>
      </w:tr>
      <w:tr w:rsidR="0092717E" w:rsidRPr="0093385B" w:rsidTr="00C214F3">
        <w:trPr>
          <w:trHeight w:val="340"/>
        </w:trPr>
        <w:tc>
          <w:tcPr>
            <w:tcW w:w="9854" w:type="dxa"/>
            <w:gridSpan w:val="7"/>
            <w:vAlign w:val="center"/>
          </w:tcPr>
          <w:p w:rsidR="0092717E" w:rsidRPr="0092717E" w:rsidRDefault="0092717E" w:rsidP="0093385B">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p>
        </w:tc>
      </w:tr>
      <w:tr w:rsidR="00E45259" w:rsidRPr="0093385B" w:rsidTr="00C214F3">
        <w:trPr>
          <w:gridAfter w:val="1"/>
          <w:wAfter w:w="8" w:type="dxa"/>
          <w:trHeight w:val="340"/>
        </w:trPr>
        <w:tc>
          <w:tcPr>
            <w:tcW w:w="9846" w:type="dxa"/>
            <w:gridSpan w:val="6"/>
            <w:shd w:val="clear" w:color="auto" w:fill="DBE5F1" w:themeFill="accent1" w:themeFillTint="33"/>
          </w:tcPr>
          <w:p w:rsidR="00E45259" w:rsidRPr="00255D97" w:rsidRDefault="00E45259" w:rsidP="005179A1">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sidRPr="00255D97">
              <w:rPr>
                <w:rFonts w:ascii="Garamond" w:eastAsia="Calibri" w:hAnsi="Garamond" w:cs="Times New Roman"/>
                <w:b/>
                <w:bCs/>
                <w:lang w:eastAsia="it-IT"/>
              </w:rPr>
              <w:t>EV</w:t>
            </w:r>
            <w:r>
              <w:rPr>
                <w:rFonts w:ascii="Garamond" w:eastAsia="Calibri" w:hAnsi="Garamond" w:cs="Times New Roman"/>
                <w:b/>
                <w:bCs/>
                <w:lang w:eastAsia="it-IT"/>
              </w:rPr>
              <w:t>7</w:t>
            </w:r>
            <w:r w:rsidRPr="00255D97">
              <w:rPr>
                <w:rFonts w:ascii="Garamond" w:eastAsia="Calibri" w:hAnsi="Garamond" w:cs="Times New Roman"/>
                <w:b/>
                <w:bCs/>
                <w:lang w:eastAsia="it-IT"/>
              </w:rPr>
              <w:t xml:space="preserve"> </w:t>
            </w:r>
          </w:p>
        </w:tc>
      </w:tr>
      <w:tr w:rsidR="00E45259" w:rsidRPr="0093385B" w:rsidTr="00C214F3">
        <w:trPr>
          <w:gridAfter w:val="1"/>
          <w:wAfter w:w="8" w:type="dxa"/>
          <w:trHeight w:val="340"/>
        </w:trPr>
        <w:tc>
          <w:tcPr>
            <w:tcW w:w="4311" w:type="dxa"/>
            <w:gridSpan w:val="2"/>
            <w:vAlign w:val="center"/>
          </w:tcPr>
          <w:p w:rsidR="00E45259" w:rsidRPr="004A0C8E" w:rsidRDefault="004A0C8E" w:rsidP="00FD4364">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jc w:val="both"/>
              <w:rPr>
                <w:rFonts w:ascii="Garamond" w:eastAsia="Calibri" w:hAnsi="Garamond" w:cs="Times New Roman"/>
                <w:lang w:eastAsia="it-IT"/>
              </w:rPr>
            </w:pPr>
            <w:r w:rsidRPr="004A0C8E">
              <w:rPr>
                <w:rFonts w:ascii="Garamond" w:eastAsia="Calibri" w:hAnsi="Garamond" w:cs="Times New Roman"/>
                <w:lang w:eastAsia="it-IT"/>
              </w:rPr>
              <w:t>Estensione garanzia sull’hardware per 5 anni dalla data di consegna</w:t>
            </w:r>
          </w:p>
        </w:tc>
        <w:tc>
          <w:tcPr>
            <w:tcW w:w="1605" w:type="dxa"/>
            <w:gridSpan w:val="2"/>
            <w:vAlign w:val="center"/>
          </w:tcPr>
          <w:p w:rsidR="00E45259" w:rsidRPr="00255D97" w:rsidRDefault="00E45259"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sym w:font="Webdings" w:char="F063"/>
            </w:r>
          </w:p>
        </w:tc>
        <w:tc>
          <w:tcPr>
            <w:tcW w:w="3930" w:type="dxa"/>
            <w:gridSpan w:val="2"/>
            <w:vAlign w:val="center"/>
          </w:tcPr>
          <w:p w:rsidR="00E45259" w:rsidRPr="00255D97" w:rsidRDefault="00E45259"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255D97">
              <w:rPr>
                <w:rFonts w:ascii="Garamond" w:eastAsia="Calibri" w:hAnsi="Garamond" w:cs="Times New Roman"/>
                <w:lang w:eastAsia="it-IT"/>
              </w:rPr>
              <w:t>Pg</w:t>
            </w:r>
            <w:proofErr w:type="spellEnd"/>
            <w:r w:rsidRPr="00255D97">
              <w:rPr>
                <w:rFonts w:ascii="Garamond" w:eastAsia="Calibri" w:hAnsi="Garamond" w:cs="Times New Roman"/>
                <w:lang w:eastAsia="it-IT"/>
              </w:rPr>
              <w:t xml:space="preserve"> N.</w:t>
            </w:r>
          </w:p>
        </w:tc>
      </w:tr>
      <w:tr w:rsidR="00E45259" w:rsidRPr="0093385B" w:rsidTr="00C214F3">
        <w:trPr>
          <w:gridAfter w:val="1"/>
          <w:wAfter w:w="8" w:type="dxa"/>
          <w:trHeight w:val="340"/>
        </w:trPr>
        <w:tc>
          <w:tcPr>
            <w:tcW w:w="9846" w:type="dxa"/>
            <w:gridSpan w:val="6"/>
          </w:tcPr>
          <w:p w:rsidR="00E45259" w:rsidRPr="00255D97" w:rsidRDefault="00E45259"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255D97">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255D97">
              <w:rPr>
                <w:rFonts w:ascii="Garamond" w:eastAsia="Calibri" w:hAnsi="Garamond" w:cs="Times New Roman"/>
                <w:lang w:eastAsia="it-IT"/>
              </w:rPr>
              <w:t xml:space="preserve"> indicare il n. di pagina della scheda tecnica dalla quale si evinca la presenza dell'elemento oggetto di valutazione</w:t>
            </w:r>
          </w:p>
        </w:tc>
      </w:tr>
      <w:tr w:rsidR="00E45259" w:rsidRPr="0093385B" w:rsidTr="00C214F3">
        <w:trPr>
          <w:gridAfter w:val="1"/>
          <w:wAfter w:w="8" w:type="dxa"/>
          <w:trHeight w:val="340"/>
        </w:trPr>
        <w:tc>
          <w:tcPr>
            <w:tcW w:w="9846" w:type="dxa"/>
            <w:gridSpan w:val="6"/>
          </w:tcPr>
          <w:p w:rsidR="00E45259" w:rsidRPr="0093385B" w:rsidRDefault="00E45259"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highlight w:val="yellow"/>
                <w:lang w:eastAsia="it-IT"/>
              </w:rPr>
            </w:pPr>
          </w:p>
        </w:tc>
      </w:tr>
      <w:tr w:rsidR="00E45259" w:rsidRPr="0093385B" w:rsidTr="00C214F3">
        <w:trPr>
          <w:gridAfter w:val="1"/>
          <w:wAfter w:w="8" w:type="dxa"/>
          <w:trHeight w:val="340"/>
        </w:trPr>
        <w:tc>
          <w:tcPr>
            <w:tcW w:w="9846" w:type="dxa"/>
            <w:gridSpan w:val="6"/>
            <w:shd w:val="clear" w:color="auto" w:fill="DBE5F1" w:themeFill="accent1" w:themeFillTint="33"/>
          </w:tcPr>
          <w:p w:rsidR="00E45259" w:rsidRPr="00507912" w:rsidRDefault="00E45259"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b/>
                <w:lang w:eastAsia="it-IT"/>
              </w:rPr>
            </w:pPr>
            <w:r>
              <w:rPr>
                <w:rFonts w:ascii="Garamond" w:eastAsia="Calibri" w:hAnsi="Garamond" w:cs="Times New Roman"/>
                <w:b/>
                <w:bCs/>
                <w:lang w:eastAsia="it-IT"/>
              </w:rPr>
              <w:t>EV8</w:t>
            </w:r>
          </w:p>
        </w:tc>
      </w:tr>
      <w:tr w:rsidR="0092717E" w:rsidRPr="0093385B" w:rsidTr="00EF77B3">
        <w:trPr>
          <w:gridBefore w:val="1"/>
          <w:gridAfter w:val="1"/>
          <w:wBefore w:w="108" w:type="dxa"/>
          <w:wAfter w:w="8" w:type="dxa"/>
          <w:trHeight w:val="340"/>
        </w:trPr>
        <w:tc>
          <w:tcPr>
            <w:tcW w:w="4203" w:type="dxa"/>
            <w:tcBorders>
              <w:top w:val="single" w:sz="4" w:space="0" w:color="auto"/>
              <w:left w:val="single" w:sz="4" w:space="0" w:color="auto"/>
              <w:bottom w:val="single" w:sz="4" w:space="0" w:color="auto"/>
              <w:right w:val="single" w:sz="4" w:space="0" w:color="auto"/>
            </w:tcBorders>
            <w:vAlign w:val="bottom"/>
          </w:tcPr>
          <w:p w:rsidR="0092717E" w:rsidRPr="004A0C8E" w:rsidRDefault="004A0C8E" w:rsidP="00EF77B3">
            <w:pPr>
              <w:widowControl w:val="0"/>
              <w:tabs>
                <w:tab w:val="right" w:leader="underscore" w:pos="9600"/>
              </w:tabs>
              <w:spacing w:line="360" w:lineRule="auto"/>
              <w:jc w:val="both"/>
              <w:rPr>
                <w:rFonts w:ascii="Garamond" w:hAnsi="Garamond" w:cs="Calibri"/>
                <w:lang w:eastAsia="it-IT"/>
              </w:rPr>
            </w:pPr>
            <w:r w:rsidRPr="00EF77B3">
              <w:rPr>
                <w:rFonts w:ascii="Garamond" w:eastAsia="Calibri" w:hAnsi="Garamond" w:cs="Times New Roman"/>
                <w:lang w:eastAsia="it-IT"/>
              </w:rPr>
              <w:t>Manutenzione software (patch e correzioni)</w:t>
            </w:r>
            <w:r w:rsidR="000C17E1" w:rsidRPr="00EF77B3">
              <w:rPr>
                <w:rFonts w:ascii="Garamond" w:eastAsia="Calibri" w:hAnsi="Garamond" w:cs="Times New Roman"/>
                <w:lang w:eastAsia="it-IT"/>
              </w:rPr>
              <w:t>, senza aggiornamento alle nuove versioni,</w:t>
            </w:r>
            <w:r w:rsidRPr="00EF77B3">
              <w:rPr>
                <w:rFonts w:ascii="Garamond" w:eastAsia="Calibri" w:hAnsi="Garamond" w:cs="Times New Roman"/>
                <w:lang w:eastAsia="it-IT"/>
              </w:rPr>
              <w:t xml:space="preserve"> per </w:t>
            </w:r>
            <w:r w:rsidR="000C17E1" w:rsidRPr="00EF77B3">
              <w:rPr>
                <w:rFonts w:ascii="Garamond" w:eastAsia="Calibri" w:hAnsi="Garamond" w:cs="Times New Roman"/>
                <w:lang w:eastAsia="it-IT"/>
              </w:rPr>
              <w:t>20 anni dalla data di consegna</w:t>
            </w:r>
          </w:p>
        </w:tc>
        <w:tc>
          <w:tcPr>
            <w:tcW w:w="1605" w:type="dxa"/>
            <w:gridSpan w:val="2"/>
            <w:tcBorders>
              <w:left w:val="single" w:sz="4" w:space="0" w:color="auto"/>
            </w:tcBorders>
            <w:vAlign w:val="center"/>
          </w:tcPr>
          <w:p w:rsidR="0092717E" w:rsidRPr="00507912" w:rsidRDefault="0092717E"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sym w:font="Webdings" w:char="F063"/>
            </w:r>
          </w:p>
        </w:tc>
        <w:tc>
          <w:tcPr>
            <w:tcW w:w="3930" w:type="dxa"/>
            <w:gridSpan w:val="2"/>
            <w:vAlign w:val="center"/>
          </w:tcPr>
          <w:p w:rsidR="0092717E" w:rsidRPr="00507912" w:rsidRDefault="0092717E"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proofErr w:type="spellStart"/>
            <w:r w:rsidRPr="00507912">
              <w:rPr>
                <w:rFonts w:ascii="Garamond" w:eastAsia="Calibri" w:hAnsi="Garamond" w:cs="Times New Roman"/>
                <w:lang w:eastAsia="it-IT"/>
              </w:rPr>
              <w:t>Pg</w:t>
            </w:r>
            <w:proofErr w:type="spellEnd"/>
            <w:r w:rsidRPr="00507912">
              <w:rPr>
                <w:rFonts w:ascii="Garamond" w:eastAsia="Calibri" w:hAnsi="Garamond" w:cs="Times New Roman"/>
                <w:lang w:eastAsia="it-IT"/>
              </w:rPr>
              <w:t xml:space="preserve"> N.</w:t>
            </w:r>
          </w:p>
        </w:tc>
      </w:tr>
      <w:tr w:rsidR="0092717E" w:rsidRPr="0093385B" w:rsidTr="00C214F3">
        <w:trPr>
          <w:gridAfter w:val="1"/>
          <w:wAfter w:w="8" w:type="dxa"/>
          <w:trHeight w:val="340"/>
        </w:trPr>
        <w:tc>
          <w:tcPr>
            <w:tcW w:w="9846" w:type="dxa"/>
            <w:gridSpan w:val="6"/>
          </w:tcPr>
          <w:p w:rsidR="0092717E" w:rsidRPr="00507912" w:rsidRDefault="0092717E" w:rsidP="00CE5FC8">
            <w:pPr>
              <w:widowControl w:val="0"/>
              <w:pBdr>
                <w:top w:val="single" w:sz="4" w:space="1" w:color="auto"/>
                <w:left w:val="single" w:sz="4" w:space="1" w:color="auto"/>
                <w:bottom w:val="single" w:sz="4" w:space="1" w:color="auto"/>
                <w:right w:val="single" w:sz="4" w:space="1" w:color="auto"/>
              </w:pBdr>
              <w:tabs>
                <w:tab w:val="right" w:leader="underscore" w:pos="9600"/>
              </w:tabs>
              <w:spacing w:line="360" w:lineRule="auto"/>
              <w:rPr>
                <w:rFonts w:ascii="Garamond" w:eastAsia="Calibri" w:hAnsi="Garamond" w:cs="Times New Roman"/>
                <w:lang w:eastAsia="it-IT"/>
              </w:rPr>
            </w:pPr>
            <w:r w:rsidRPr="00507912">
              <w:rPr>
                <w:rFonts w:ascii="Garamond" w:eastAsia="Calibri" w:hAnsi="Garamond" w:cs="Times New Roman"/>
                <w:lang w:eastAsia="it-IT"/>
              </w:rPr>
              <w:t xml:space="preserve">Ove </w:t>
            </w:r>
            <w:r w:rsidR="00D01D6B">
              <w:rPr>
                <w:rFonts w:ascii="Garamond" w:eastAsia="Calibri" w:hAnsi="Garamond" w:cs="Times New Roman"/>
                <w:lang w:eastAsia="it-IT"/>
              </w:rPr>
              <w:t>offerto</w:t>
            </w:r>
            <w:r w:rsidRPr="00507912">
              <w:rPr>
                <w:rFonts w:ascii="Garamond" w:eastAsia="Calibri" w:hAnsi="Garamond" w:cs="Times New Roman"/>
                <w:lang w:eastAsia="it-IT"/>
              </w:rPr>
              <w:t xml:space="preserve"> indicare il n. di pagina della scheda tecnica dalla quale si evinca la presenza dell'elemento oggetto di valutazione</w:t>
            </w:r>
          </w:p>
        </w:tc>
      </w:tr>
    </w:tbl>
    <w:p w:rsidR="00C55770" w:rsidRDefault="00C55770" w:rsidP="000F6200">
      <w:pPr>
        <w:widowControl w:val="0"/>
        <w:tabs>
          <w:tab w:val="right" w:leader="underscore" w:pos="9600"/>
        </w:tabs>
        <w:spacing w:after="0" w:line="360" w:lineRule="auto"/>
        <w:rPr>
          <w:rFonts w:ascii="Garamond" w:eastAsia="Calibri" w:hAnsi="Garamond" w:cs="Times New Roman"/>
          <w:lang w:eastAsia="it-IT"/>
        </w:rPr>
      </w:pPr>
    </w:p>
    <w:p w:rsidR="00446567" w:rsidRDefault="00446567" w:rsidP="000F6200">
      <w:pPr>
        <w:widowControl w:val="0"/>
        <w:tabs>
          <w:tab w:val="right" w:leader="underscore" w:pos="9600"/>
        </w:tabs>
        <w:spacing w:after="0" w:line="360" w:lineRule="auto"/>
        <w:rPr>
          <w:rFonts w:ascii="Garamond" w:eastAsia="Calibri" w:hAnsi="Garamond" w:cs="Times New Roman"/>
          <w:lang w:eastAsia="it-IT"/>
        </w:rPr>
      </w:pPr>
    </w:p>
    <w:p w:rsidR="009C2E38" w:rsidRDefault="009C2E38" w:rsidP="009C2E38">
      <w:pPr>
        <w:rPr>
          <w:rFonts w:ascii="Garamond" w:hAnsi="Garamond"/>
          <w:b/>
        </w:rPr>
      </w:pPr>
      <w:r>
        <w:rPr>
          <w:rFonts w:ascii="Garamond" w:hAnsi="Garamond"/>
          <w:b/>
        </w:rPr>
        <w:t>Rappresentante Legale/Titolare dell’Impresa</w:t>
      </w:r>
    </w:p>
    <w:p w:rsidR="009C2E38" w:rsidRDefault="009C2E38" w:rsidP="009C2E38">
      <w:pPr>
        <w:rPr>
          <w:rFonts w:ascii="Garamond" w:hAnsi="Garamond"/>
        </w:rPr>
      </w:pPr>
      <w:r>
        <w:rPr>
          <w:rFonts w:ascii="Garamond" w:hAnsi="Garamond"/>
        </w:rPr>
        <w:t>(firma leggibile)</w:t>
      </w:r>
      <w:r>
        <w:rPr>
          <w:rFonts w:ascii="Garamond" w:hAnsi="Garamond"/>
        </w:rPr>
        <w:tab/>
        <w:t xml:space="preserve">       </w:t>
      </w:r>
      <w:r>
        <w:rPr>
          <w:rFonts w:ascii="Garamond" w:hAnsi="Garamond"/>
        </w:rPr>
        <w:tab/>
      </w:r>
      <w:r>
        <w:rPr>
          <w:rFonts w:ascii="Garamond" w:hAnsi="Garamond"/>
        </w:rPr>
        <w:tab/>
        <w:t>________________________</w:t>
      </w:r>
    </w:p>
    <w:p w:rsidR="009C2E38" w:rsidRDefault="009C2E38" w:rsidP="009C2E38">
      <w:pPr>
        <w:rPr>
          <w:rFonts w:ascii="Garamond" w:hAnsi="Garamond"/>
        </w:rPr>
      </w:pPr>
      <w:r>
        <w:rPr>
          <w:rFonts w:ascii="Garamond" w:hAnsi="Garamond"/>
        </w:rPr>
        <w:t xml:space="preserve"> (Luogo e data di nascita) </w:t>
      </w:r>
      <w:r>
        <w:rPr>
          <w:rFonts w:ascii="Garamond" w:hAnsi="Garamond"/>
        </w:rPr>
        <w:tab/>
        <w:t>________________________</w:t>
      </w:r>
    </w:p>
    <w:p w:rsidR="009C2E38" w:rsidRDefault="009C2E38" w:rsidP="009C2E38">
      <w:pPr>
        <w:rPr>
          <w:rFonts w:ascii="Garamond" w:hAnsi="Garamond"/>
        </w:rPr>
      </w:pPr>
    </w:p>
    <w:p w:rsidR="009C2E38" w:rsidRDefault="009C2E38" w:rsidP="009C2E38">
      <w:pPr>
        <w:rPr>
          <w:rFonts w:ascii="Garamond" w:hAnsi="Garamond"/>
          <w:b/>
        </w:rPr>
      </w:pPr>
      <w:r>
        <w:rPr>
          <w:rFonts w:ascii="Garamond" w:hAnsi="Garamond"/>
          <w:b/>
        </w:rPr>
        <w:t>Legali Rappresentanti (nel caso di costituenda R.T.I./ Consorzio)</w:t>
      </w:r>
    </w:p>
    <w:p w:rsidR="009C2E38" w:rsidRDefault="009C2E38" w:rsidP="009C2E38">
      <w:pPr>
        <w:rPr>
          <w:rFonts w:ascii="Garamond" w:hAnsi="Garamond"/>
        </w:rPr>
      </w:pPr>
      <w:r>
        <w:rPr>
          <w:rFonts w:ascii="Garamond" w:hAnsi="Garamond"/>
        </w:rPr>
        <w:t xml:space="preserve">(firme leggibili) </w:t>
      </w:r>
      <w:r>
        <w:rPr>
          <w:rFonts w:ascii="Garamond" w:hAnsi="Garamond"/>
        </w:rPr>
        <w:tab/>
      </w:r>
      <w:r>
        <w:rPr>
          <w:rFonts w:ascii="Garamond" w:hAnsi="Garamond"/>
        </w:rPr>
        <w:tab/>
      </w:r>
      <w:r>
        <w:rPr>
          <w:rFonts w:ascii="Garamond" w:hAnsi="Garamond"/>
        </w:rPr>
        <w:tab/>
      </w:r>
      <w:r>
        <w:rPr>
          <w:rFonts w:ascii="Garamond" w:hAnsi="Garamond"/>
        </w:rPr>
        <w:tab/>
        <w:t>________________________</w:t>
      </w:r>
    </w:p>
    <w:p w:rsidR="009C2E38" w:rsidRDefault="009C2E38" w:rsidP="009C2E38">
      <w:pPr>
        <w:rPr>
          <w:rFonts w:ascii="Garamond" w:hAnsi="Garamond"/>
        </w:rPr>
      </w:pPr>
      <w:r>
        <w:rPr>
          <w:rFonts w:ascii="Garamond" w:hAnsi="Garamond"/>
        </w:rPr>
        <w:tab/>
      </w:r>
      <w:r>
        <w:rPr>
          <w:rFonts w:ascii="Garamond" w:hAnsi="Garamond"/>
        </w:rPr>
        <w:tab/>
      </w:r>
      <w:r>
        <w:rPr>
          <w:rFonts w:ascii="Garamond" w:hAnsi="Garamond"/>
        </w:rPr>
        <w:tab/>
        <w:t xml:space="preserve">            </w:t>
      </w:r>
      <w:r>
        <w:rPr>
          <w:rFonts w:ascii="Garamond" w:hAnsi="Garamond"/>
        </w:rPr>
        <w:tab/>
      </w:r>
      <w:r>
        <w:rPr>
          <w:rFonts w:ascii="Garamond" w:hAnsi="Garamond"/>
        </w:rPr>
        <w:tab/>
        <w:t>________________________</w:t>
      </w:r>
    </w:p>
    <w:p w:rsidR="00770B5F" w:rsidRDefault="00770B5F" w:rsidP="009C2E38">
      <w:pPr>
        <w:rPr>
          <w:rFonts w:ascii="Garamond" w:hAnsi="Garamond"/>
        </w:rPr>
      </w:pPr>
    </w:p>
    <w:p w:rsidR="009C2E38" w:rsidRDefault="009C2E38" w:rsidP="009C2E38">
      <w:pPr>
        <w:rPr>
          <w:rFonts w:ascii="Garamond" w:hAnsi="Garamond"/>
        </w:rPr>
      </w:pPr>
      <w:r>
        <w:rPr>
          <w:rFonts w:ascii="Garamond" w:hAnsi="Garamond"/>
        </w:rPr>
        <w:t xml:space="preserve">(Luoghi e date di nascita) </w:t>
      </w:r>
      <w:r>
        <w:rPr>
          <w:rFonts w:ascii="Garamond" w:hAnsi="Garamond"/>
        </w:rPr>
        <w:tab/>
      </w:r>
      <w:r>
        <w:rPr>
          <w:rFonts w:ascii="Garamond" w:hAnsi="Garamond"/>
        </w:rPr>
        <w:tab/>
        <w:t>_______________________</w:t>
      </w:r>
    </w:p>
    <w:p w:rsidR="009C2E38" w:rsidRDefault="009C2E38" w:rsidP="009C2E38">
      <w:pPr>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t xml:space="preserve">     </w:t>
      </w:r>
      <w:r>
        <w:rPr>
          <w:rFonts w:ascii="Garamond" w:hAnsi="Garamond"/>
        </w:rPr>
        <w:tab/>
        <w:t xml:space="preserve"> _______________________</w:t>
      </w:r>
    </w:p>
    <w:p w:rsidR="009C2E38" w:rsidRDefault="009C2E38" w:rsidP="009C2E38">
      <w:pPr>
        <w:widowControl w:val="0"/>
        <w:tabs>
          <w:tab w:val="right" w:leader="underscore" w:pos="9600"/>
        </w:tabs>
        <w:spacing w:after="0" w:line="360" w:lineRule="auto"/>
        <w:rPr>
          <w:rFonts w:ascii="Garamond" w:eastAsia="Calibri" w:hAnsi="Garamond" w:cs="Times New Roman"/>
          <w:lang w:eastAsia="it-IT"/>
        </w:rPr>
      </w:pPr>
    </w:p>
    <w:p w:rsidR="009C2E38" w:rsidRDefault="009C2E38" w:rsidP="009C2E38">
      <w:pPr>
        <w:rPr>
          <w:rFonts w:ascii="Garamond" w:hAnsi="Garamond"/>
        </w:rPr>
      </w:pPr>
      <w:r>
        <w:rPr>
          <w:rFonts w:ascii="Garamond" w:hAnsi="Garamond"/>
          <w:b/>
        </w:rPr>
        <w:t>Note utili alla compilazione</w:t>
      </w:r>
      <w:r>
        <w:rPr>
          <w:rFonts w:ascii="Garamond" w:hAnsi="Garamond"/>
        </w:rPr>
        <w:t>:</w:t>
      </w:r>
    </w:p>
    <w:p w:rsidR="009C2E38" w:rsidRDefault="009C2E38" w:rsidP="009C2E38">
      <w:pPr>
        <w:jc w:val="both"/>
        <w:rPr>
          <w:rFonts w:ascii="Garamond" w:hAnsi="Garamond"/>
        </w:rPr>
      </w:pPr>
      <w:r>
        <w:rPr>
          <w:rFonts w:ascii="Garamond" w:hAnsi="Garamond"/>
        </w:rPr>
        <w:t>Nel caso di concorrenti con idoneità plurisoggettiva, non ancora costituiti, la relazione deve essere sottoscritta da tutti gli operatori economici che partecipano alla procedura in forma congiunta.</w:t>
      </w:r>
    </w:p>
    <w:p w:rsidR="009C2E38" w:rsidRPr="000F6200" w:rsidRDefault="009C2E38" w:rsidP="000F6200">
      <w:pPr>
        <w:widowControl w:val="0"/>
        <w:tabs>
          <w:tab w:val="right" w:leader="underscore" w:pos="9600"/>
        </w:tabs>
        <w:spacing w:after="0" w:line="360" w:lineRule="auto"/>
        <w:rPr>
          <w:rFonts w:ascii="Garamond" w:eastAsia="Calibri" w:hAnsi="Garamond" w:cs="Times New Roman"/>
          <w:lang w:eastAsia="it-IT"/>
        </w:rPr>
      </w:pPr>
    </w:p>
    <w:sectPr w:rsidR="009C2E38" w:rsidRPr="000F62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567" w:rsidRDefault="00446567" w:rsidP="00446567">
      <w:pPr>
        <w:spacing w:after="0" w:line="240" w:lineRule="auto"/>
      </w:pPr>
      <w:r>
        <w:separator/>
      </w:r>
    </w:p>
  </w:endnote>
  <w:endnote w:type="continuationSeparator" w:id="0">
    <w:p w:rsidR="00446567" w:rsidRDefault="00446567" w:rsidP="00446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603204"/>
      <w:docPartObj>
        <w:docPartGallery w:val="Page Numbers (Bottom of Page)"/>
        <w:docPartUnique/>
      </w:docPartObj>
    </w:sdtPr>
    <w:sdtEndPr/>
    <w:sdtContent>
      <w:p w:rsidR="00446567" w:rsidRDefault="00446567">
        <w:pPr>
          <w:pStyle w:val="Pidipagina"/>
          <w:jc w:val="center"/>
        </w:pPr>
        <w:r>
          <w:fldChar w:fldCharType="begin"/>
        </w:r>
        <w:r>
          <w:instrText>PAGE   \* MERGEFORMAT</w:instrText>
        </w:r>
        <w:r>
          <w:fldChar w:fldCharType="separate"/>
        </w:r>
        <w:r w:rsidR="00A17800">
          <w:rPr>
            <w:noProof/>
          </w:rPr>
          <w:t>1</w:t>
        </w:r>
        <w:r>
          <w:fldChar w:fldCharType="end"/>
        </w:r>
      </w:p>
    </w:sdtContent>
  </w:sdt>
  <w:p w:rsidR="00446567" w:rsidRDefault="0044656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567" w:rsidRDefault="00446567" w:rsidP="00446567">
      <w:pPr>
        <w:spacing w:after="0" w:line="240" w:lineRule="auto"/>
      </w:pPr>
      <w:r>
        <w:separator/>
      </w:r>
    </w:p>
  </w:footnote>
  <w:footnote w:type="continuationSeparator" w:id="0">
    <w:p w:rsidR="00446567" w:rsidRDefault="00446567" w:rsidP="004465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D51"/>
    <w:multiLevelType w:val="hybridMultilevel"/>
    <w:tmpl w:val="4DF06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22C0"/>
    <w:rsid w:val="00007A7A"/>
    <w:rsid w:val="00007E6E"/>
    <w:rsid w:val="00010310"/>
    <w:rsid w:val="000213C8"/>
    <w:rsid w:val="00090D9F"/>
    <w:rsid w:val="000C17E1"/>
    <w:rsid w:val="000D6B75"/>
    <w:rsid w:val="000F55CE"/>
    <w:rsid w:val="000F6200"/>
    <w:rsid w:val="001026E8"/>
    <w:rsid w:val="00122EEE"/>
    <w:rsid w:val="00127417"/>
    <w:rsid w:val="00132CBE"/>
    <w:rsid w:val="00144904"/>
    <w:rsid w:val="00160B84"/>
    <w:rsid w:val="00165B98"/>
    <w:rsid w:val="00185B5E"/>
    <w:rsid w:val="00195530"/>
    <w:rsid w:val="00197109"/>
    <w:rsid w:val="001A3992"/>
    <w:rsid w:val="001A50FD"/>
    <w:rsid w:val="001E1005"/>
    <w:rsid w:val="001E190A"/>
    <w:rsid w:val="0021576A"/>
    <w:rsid w:val="00226433"/>
    <w:rsid w:val="0024395C"/>
    <w:rsid w:val="00255D97"/>
    <w:rsid w:val="00262367"/>
    <w:rsid w:val="00267ED4"/>
    <w:rsid w:val="00284B9C"/>
    <w:rsid w:val="00292388"/>
    <w:rsid w:val="002A3C6E"/>
    <w:rsid w:val="003531AB"/>
    <w:rsid w:val="0038618D"/>
    <w:rsid w:val="003B0638"/>
    <w:rsid w:val="003D7C4A"/>
    <w:rsid w:val="003F7516"/>
    <w:rsid w:val="00422966"/>
    <w:rsid w:val="00434CC6"/>
    <w:rsid w:val="00446567"/>
    <w:rsid w:val="004743FB"/>
    <w:rsid w:val="00480D25"/>
    <w:rsid w:val="00494BDB"/>
    <w:rsid w:val="004A0C8E"/>
    <w:rsid w:val="004C47A3"/>
    <w:rsid w:val="005054F8"/>
    <w:rsid w:val="00507912"/>
    <w:rsid w:val="005179A1"/>
    <w:rsid w:val="00543C6D"/>
    <w:rsid w:val="005B1EF8"/>
    <w:rsid w:val="005C7874"/>
    <w:rsid w:val="00680A6F"/>
    <w:rsid w:val="00695654"/>
    <w:rsid w:val="006A5177"/>
    <w:rsid w:val="006A5C05"/>
    <w:rsid w:val="006B4BA2"/>
    <w:rsid w:val="006B4F71"/>
    <w:rsid w:val="006C2808"/>
    <w:rsid w:val="007064B4"/>
    <w:rsid w:val="00722A13"/>
    <w:rsid w:val="00770B5F"/>
    <w:rsid w:val="007B360A"/>
    <w:rsid w:val="007D6DC8"/>
    <w:rsid w:val="00826900"/>
    <w:rsid w:val="00850AA0"/>
    <w:rsid w:val="008718A5"/>
    <w:rsid w:val="008C1996"/>
    <w:rsid w:val="008D4FB2"/>
    <w:rsid w:val="008D5E43"/>
    <w:rsid w:val="008D7354"/>
    <w:rsid w:val="009029BA"/>
    <w:rsid w:val="0091514F"/>
    <w:rsid w:val="009270A1"/>
    <w:rsid w:val="0092717E"/>
    <w:rsid w:val="0093385B"/>
    <w:rsid w:val="00950BB6"/>
    <w:rsid w:val="009546C0"/>
    <w:rsid w:val="009C2E38"/>
    <w:rsid w:val="009D7238"/>
    <w:rsid w:val="009F37DC"/>
    <w:rsid w:val="00A072ED"/>
    <w:rsid w:val="00A17800"/>
    <w:rsid w:val="00A73599"/>
    <w:rsid w:val="00A84DAE"/>
    <w:rsid w:val="00A91914"/>
    <w:rsid w:val="00A94AD7"/>
    <w:rsid w:val="00AF520E"/>
    <w:rsid w:val="00AF5771"/>
    <w:rsid w:val="00B30486"/>
    <w:rsid w:val="00B60DF0"/>
    <w:rsid w:val="00B64A4A"/>
    <w:rsid w:val="00BD4421"/>
    <w:rsid w:val="00BE1EF5"/>
    <w:rsid w:val="00BF66A4"/>
    <w:rsid w:val="00C11C51"/>
    <w:rsid w:val="00C214F3"/>
    <w:rsid w:val="00C4157B"/>
    <w:rsid w:val="00C50424"/>
    <w:rsid w:val="00C55770"/>
    <w:rsid w:val="00C6471E"/>
    <w:rsid w:val="00CC7A5E"/>
    <w:rsid w:val="00CE7E66"/>
    <w:rsid w:val="00D01D6B"/>
    <w:rsid w:val="00D03EF7"/>
    <w:rsid w:val="00D618DE"/>
    <w:rsid w:val="00D6316E"/>
    <w:rsid w:val="00D7262F"/>
    <w:rsid w:val="00D80C75"/>
    <w:rsid w:val="00D928CD"/>
    <w:rsid w:val="00DA6586"/>
    <w:rsid w:val="00E062D0"/>
    <w:rsid w:val="00E11158"/>
    <w:rsid w:val="00E13E2A"/>
    <w:rsid w:val="00E45259"/>
    <w:rsid w:val="00E561FB"/>
    <w:rsid w:val="00EC1FF9"/>
    <w:rsid w:val="00EE799C"/>
    <w:rsid w:val="00EF51E7"/>
    <w:rsid w:val="00EF55D4"/>
    <w:rsid w:val="00EF77B3"/>
    <w:rsid w:val="00F35425"/>
    <w:rsid w:val="00F87E70"/>
    <w:rsid w:val="00F97D74"/>
    <w:rsid w:val="00FB5495"/>
    <w:rsid w:val="00FC1130"/>
    <w:rsid w:val="00FC20B8"/>
    <w:rsid w:val="00FD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6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465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567"/>
  </w:style>
  <w:style w:type="paragraph" w:styleId="Pidipagina">
    <w:name w:val="footer"/>
    <w:basedOn w:val="Normale"/>
    <w:link w:val="PidipaginaCarattere"/>
    <w:uiPriority w:val="99"/>
    <w:unhideWhenUsed/>
    <w:rsid w:val="004465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5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160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44656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567"/>
  </w:style>
  <w:style w:type="paragraph" w:styleId="Pidipagina">
    <w:name w:val="footer"/>
    <w:basedOn w:val="Normale"/>
    <w:link w:val="PidipaginaCarattere"/>
    <w:uiPriority w:val="99"/>
    <w:unhideWhenUsed/>
    <w:rsid w:val="0044656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883901">
      <w:bodyDiv w:val="1"/>
      <w:marLeft w:val="0"/>
      <w:marRight w:val="0"/>
      <w:marTop w:val="0"/>
      <w:marBottom w:val="0"/>
      <w:divBdr>
        <w:top w:val="none" w:sz="0" w:space="0" w:color="auto"/>
        <w:left w:val="none" w:sz="0" w:space="0" w:color="auto"/>
        <w:bottom w:val="none" w:sz="0" w:space="0" w:color="auto"/>
        <w:right w:val="none" w:sz="0" w:space="0" w:color="auto"/>
      </w:divBdr>
    </w:div>
    <w:div w:id="177729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2195</Words>
  <Characters>12512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STEFANELLI  MARIA</cp:lastModifiedBy>
  <cp:revision>10</cp:revision>
  <dcterms:created xsi:type="dcterms:W3CDTF">2018-11-21T10:44:00Z</dcterms:created>
  <dcterms:modified xsi:type="dcterms:W3CDTF">2018-11-22T10:55:00Z</dcterms:modified>
</cp:coreProperties>
</file>