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736" w14:textId="696EB5BB" w:rsidR="00282C61" w:rsidRPr="00143D0F" w:rsidRDefault="00D35499" w:rsidP="00A67392">
            <w:pPr>
              <w:tabs>
                <w:tab w:val="left" w:pos="3168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bookmarkStart w:id="0" w:name="_Hlk121757635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0"/>
            <w:bookmarkEnd w:id="1"/>
            <w:r w:rsidR="003569EA" w:rsidRPr="003569EA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manutenzione straordinaria del rivestimento esterno degli edifici a scavalco e manica d'approdo lato strada della cittadella politecnica (TO_CIT11) del Politecnico di Torino, C.so Castelfidardo, 39 - </w:t>
            </w:r>
            <w:r w:rsidR="003569EA" w:rsidRPr="00803597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CIG: </w:t>
            </w:r>
            <w:r w:rsidR="00803597" w:rsidRPr="00803597">
              <w:rPr>
                <w:rFonts w:ascii="Century Gothic" w:eastAsia="Times New Roman" w:hAnsi="Century Gothic" w:cs="Poppins"/>
                <w:sz w:val="20"/>
                <w:szCs w:val="20"/>
              </w:rPr>
              <w:t>9625721441 - CUP: E14H17001070005 -</w:t>
            </w:r>
            <w:bookmarkStart w:id="2" w:name="_GoBack"/>
            <w:bookmarkEnd w:id="2"/>
            <w:r w:rsidR="00803597" w:rsidRPr="00803597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CUI: L00518460019202300014</w:t>
            </w:r>
          </w:p>
        </w:tc>
      </w:tr>
    </w:tbl>
    <w:p w14:paraId="543F8ECD" w14:textId="33B75409" w:rsidR="00282C61" w:rsidRPr="00143D0F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10E5E63C" w14:textId="5EBE389A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28E5D9D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lastRenderedPageBreak/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82C61"/>
    <w:rsid w:val="002D26CB"/>
    <w:rsid w:val="00303201"/>
    <w:rsid w:val="003569EA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803597"/>
    <w:rsid w:val="008211EC"/>
    <w:rsid w:val="008252EE"/>
    <w:rsid w:val="00A13A3D"/>
    <w:rsid w:val="00A67392"/>
    <w:rsid w:val="00B628B9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B3E74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Stefania  Agriesti</cp:lastModifiedBy>
  <cp:revision>30</cp:revision>
  <cp:lastPrinted>2020-08-24T09:16:00Z</cp:lastPrinted>
  <dcterms:created xsi:type="dcterms:W3CDTF">2020-08-07T14:19:00Z</dcterms:created>
  <dcterms:modified xsi:type="dcterms:W3CDTF">2023-01-27T13:11:00Z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