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805327" w:rsidRPr="00CA259E" w:rsidRDefault="00805327" w:rsidP="0080532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805327">
        <w:rPr>
          <w:b/>
          <w:sz w:val="20"/>
          <w:szCs w:val="20"/>
          <w:u w:val="single"/>
        </w:rPr>
        <w:t>Lotto 2</w:t>
      </w:r>
      <w:r w:rsidRPr="00805327">
        <w:rPr>
          <w:sz w:val="20"/>
          <w:szCs w:val="20"/>
        </w:rPr>
        <w:t xml:space="preserve"> - Amplificatore di potenza lineare da installare presso EC-L - CIG 766359135B - CUP </w:t>
      </w:r>
      <w:r w:rsidRPr="00CA259E">
        <w:rPr>
          <w:sz w:val="20"/>
          <w:szCs w:val="20"/>
        </w:rPr>
        <w:t>E15D18000310007 - CID 321-40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B565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97926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B565C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C2214"/>
    <w:rsid w:val="00CD0EE0"/>
    <w:rsid w:val="00CD5817"/>
    <w:rsid w:val="00CF41A4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2018-11-21T11:38:00Z</dcterms:created>
  <dcterms:modified xsi:type="dcterms:W3CDTF">2018-11-21T11:40:00Z</dcterms:modified>
</cp:coreProperties>
</file>